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43686" w14:textId="1780C5CD" w:rsidR="00296435" w:rsidRPr="00506B51" w:rsidRDefault="0026799D" w:rsidP="00506B51">
      <w:pPr>
        <w:pStyle w:val="Annex"/>
        <w:spacing w:after="480"/>
        <w:jc w:val="center"/>
        <w:rPr>
          <w:szCs w:val="24"/>
        </w:rPr>
      </w:pPr>
      <w:bookmarkStart w:id="0" w:name="bookmark991"/>
      <w:bookmarkStart w:id="1" w:name="bookmark992"/>
      <w:bookmarkStart w:id="2" w:name="bookmark993"/>
      <w:r w:rsidRPr="00D714DE">
        <w:t xml:space="preserve">ANNEX </w:t>
      </w:r>
      <w:r w:rsidR="00CC4D23">
        <w:t>2</w:t>
      </w:r>
      <w:r>
        <w:t xml:space="preserve"> - </w:t>
      </w:r>
      <w:r w:rsidRPr="00041DBD">
        <w:rPr>
          <w:szCs w:val="24"/>
        </w:rPr>
        <w:t>SPECIFIC RULES</w:t>
      </w:r>
      <w:bookmarkEnd w:id="0"/>
      <w:bookmarkEnd w:id="1"/>
      <w:bookmarkEnd w:id="2"/>
    </w:p>
    <w:p w14:paraId="72B4CF03" w14:textId="7DE0D1AA" w:rsidR="001E492A" w:rsidRPr="008E1978" w:rsidRDefault="0047412C" w:rsidP="008E1978">
      <w:pPr>
        <w:pStyle w:val="Heading1"/>
        <w:spacing w:before="200"/>
        <w:rPr>
          <w:b w:val="0"/>
        </w:rPr>
      </w:pPr>
      <w:bookmarkStart w:id="3" w:name="_Toc150952403"/>
      <w:bookmarkStart w:id="4" w:name="_Toc117591132"/>
      <w:bookmarkStart w:id="5" w:name="_Toc117674743"/>
      <w:bookmarkStart w:id="6" w:name="_Toc117696674"/>
      <w:bookmarkStart w:id="7" w:name="_Toc117699315"/>
      <w:bookmarkStart w:id="8" w:name="_Toc124769079"/>
      <w:bookmarkStart w:id="9" w:name="_Toc126757441"/>
      <w:r>
        <w:rPr>
          <w:b w:val="0"/>
        </w:rPr>
        <w:t>1</w:t>
      </w:r>
      <w:r w:rsidR="001E492A" w:rsidRPr="008E1978">
        <w:rPr>
          <w:b w:val="0"/>
        </w:rPr>
        <w:t>. SUBCONTRACTING (Article 9.3)</w:t>
      </w:r>
      <w:bookmarkEnd w:id="3"/>
    </w:p>
    <w:p w14:paraId="1D76A253" w14:textId="77777777" w:rsidR="001E492A" w:rsidRDefault="001E492A" w:rsidP="001E492A">
      <w:r>
        <w:t>Subcontracting of services is allowed as long as it does not cover core activities on which the achievement of the objectives of the action directly depends.</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0" w:name="_Toc150952404"/>
      <w:r>
        <w:rPr>
          <w:b w:val="0"/>
        </w:rPr>
        <w:t>2</w:t>
      </w:r>
      <w:r w:rsidR="000F4024" w:rsidRPr="00076B99">
        <w:rPr>
          <w:b w:val="0"/>
        </w:rPr>
        <w:t>. Data protection (— Article 15)</w:t>
      </w:r>
      <w:bookmarkEnd w:id="4"/>
      <w:bookmarkEnd w:id="5"/>
      <w:bookmarkEnd w:id="6"/>
      <w:bookmarkEnd w:id="7"/>
      <w:bookmarkEnd w:id="8"/>
      <w:bookmarkEnd w:id="9"/>
      <w:bookmarkEnd w:id="1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 w:name="_Toc117699316"/>
      <w:bookmarkStart w:id="12" w:name="_Toc124769080"/>
      <w:bookmarkStart w:id="13" w:name="_Toc126757442"/>
      <w:bookmarkStart w:id="1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50952406"/>
      <w:bookmarkEnd w:id="15"/>
      <w:bookmarkEnd w:id="16"/>
      <w:bookmarkEnd w:id="17"/>
      <w:bookmarkEnd w:id="18"/>
      <w:bookmarkEnd w:id="19"/>
      <w:bookmarkEnd w:id="20"/>
      <w:bookmarkEnd w:id="21"/>
      <w:bookmarkEnd w:id="22"/>
      <w:bookmarkEnd w:id="23"/>
      <w:bookmarkEnd w:id="24"/>
      <w:bookmarkEnd w:id="25"/>
      <w:r>
        <w:t>3</w:t>
      </w:r>
      <w:r w:rsidR="00C65665" w:rsidRPr="008E1978">
        <w:rPr>
          <w:b w:val="0"/>
        </w:rPr>
        <w:t xml:space="preserve">. </w:t>
      </w:r>
      <w:bookmarkEnd w:id="26"/>
      <w:bookmarkEnd w:id="27"/>
      <w:r w:rsidR="00076B99" w:rsidRPr="008E1978">
        <w:rPr>
          <w:b w:val="0"/>
        </w:rPr>
        <w:t>Intellectual property rights (IPR) — Background and results — Access rights and rights of use (— Article 16)</w:t>
      </w:r>
      <w:bookmarkEnd w:id="2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29" w:name="_Toc117674745"/>
      <w:bookmarkStart w:id="30" w:name="_Toc117696676"/>
      <w:bookmarkStart w:id="31" w:name="_Toc124769083"/>
      <w:bookmarkStart w:id="32" w:name="_Toc126757445"/>
      <w:bookmarkStart w:id="3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34" w:name="_Toc117674747"/>
      <w:bookmarkStart w:id="35" w:name="_Toc117696678"/>
      <w:bookmarkStart w:id="36" w:name="_Toc117699321"/>
      <w:bookmarkStart w:id="37" w:name="_Toc124769084"/>
      <w:bookmarkStart w:id="38" w:name="_Toc126757446"/>
      <w:bookmarkStart w:id="3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
      </w:r>
      <w:r w:rsidRPr="00D21EED">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40" w:name="_Toc117591134"/>
      <w:bookmarkStart w:id="41" w:name="_Toc117674748"/>
      <w:bookmarkStart w:id="42" w:name="_Toc117696679"/>
      <w:bookmarkStart w:id="43" w:name="_Toc117699322"/>
      <w:bookmarkStart w:id="44" w:name="_Toc124769085"/>
      <w:bookmarkStart w:id="45" w:name="_Toc126757447"/>
      <w:bookmarkStart w:id="4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40"/>
      <w:bookmarkEnd w:id="41"/>
      <w:bookmarkEnd w:id="42"/>
      <w:bookmarkEnd w:id="43"/>
      <w:bookmarkEnd w:id="44"/>
      <w:bookmarkEnd w:id="45"/>
      <w:bookmarkEnd w:id="4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programme in all </w:t>
      </w:r>
      <w:r w:rsidRPr="00805439">
        <w:rPr>
          <w:rFonts w:eastAsia="Calibri"/>
          <w:lang w:eastAsia="ar-SA"/>
        </w:rPr>
        <w:lastRenderedPageBreak/>
        <w:t>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000000" w:rsidP="00D42910">
      <w:pPr>
        <w:rPr>
          <w:color w:val="auto"/>
          <w:lang w:val="it-IT"/>
        </w:rPr>
      </w:pPr>
      <w:hyperlink r:id="rId11" w:history="1">
        <w:r w:rsidR="00D42910">
          <w:rPr>
            <w:rStyle w:val="Hyperlink"/>
            <w:rFonts w:eastAsiaTheme="majorEastAsia"/>
            <w:lang w:val="it-IT"/>
          </w:rPr>
          <w:t>https://commission.europa.eu/funding-tenders/managing-your-project/communicating-and-raising-eu-visibility_en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47" w:name="_Toc117674749"/>
      <w:bookmarkStart w:id="48" w:name="_Toc117696680"/>
      <w:bookmarkStart w:id="49" w:name="_Toc117699323"/>
      <w:bookmarkStart w:id="50" w:name="_Toc124769086"/>
      <w:bookmarkStart w:id="51" w:name="_Toc126757448"/>
      <w:bookmarkStart w:id="5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53" w:name="bookmark1279"/>
      <w:bookmarkStart w:id="54" w:name="bookmark1280"/>
      <w:bookmarkStart w:id="55" w:name="bookmark1281"/>
      <w:bookmarkStart w:id="56" w:name="_Toc124769087"/>
      <w:bookmarkStart w:id="57" w:name="_Toc126757449"/>
      <w:bookmarkStart w:id="58" w:name="_Toc150952411"/>
      <w:bookmarkEnd w:id="53"/>
      <w:bookmarkEnd w:id="54"/>
      <w:bookmarkEnd w:id="5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56"/>
      <w:bookmarkEnd w:id="57"/>
      <w:bookmarkEnd w:id="5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59" w:name="_Toc124769088"/>
      <w:bookmarkStart w:id="60" w:name="_Toc126757450"/>
      <w:bookmarkStart w:id="6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59"/>
      <w:bookmarkEnd w:id="60"/>
      <w:bookmarkEnd w:id="6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62" w:name="_Toc124769090"/>
      <w:bookmarkStart w:id="63" w:name="_Toc126757452"/>
      <w:bookmarkStart w:id="6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62"/>
      <w:bookmarkEnd w:id="63"/>
      <w:bookmarkEnd w:id="6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5" w:name="_Toc124769091"/>
      <w:bookmarkStart w:id="66" w:name="_Toc126757453"/>
      <w:bookmarkStart w:id="6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65"/>
      <w:bookmarkEnd w:id="66"/>
      <w:bookmarkEnd w:id="6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50952415"/>
      <w:bookmarkStart w:id="83" w:name="_Toc117674754"/>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79"/>
      <w:bookmarkEnd w:id="80"/>
      <w:bookmarkEnd w:id="81"/>
      <w:bookmarkEnd w:id="8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4" w:name="_Toc117696685"/>
      <w:bookmarkStart w:id="85" w:name="_Toc117699329"/>
      <w:bookmarkStart w:id="86" w:name="_Toc124769093"/>
      <w:bookmarkStart w:id="87" w:name="_Toc126757455"/>
      <w:bookmarkStart w:id="8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4D31E623"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lastRenderedPageBreak/>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9" w:name="_Toc124769094"/>
      <w:bookmarkStart w:id="90" w:name="_Toc126757456"/>
      <w:bookmarkStart w:id="9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89"/>
      <w:bookmarkEnd w:id="90"/>
      <w:bookmarkEnd w:id="91"/>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The impact on the participating organisations</w:t>
      </w:r>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The potential wider impact of the project on individuals and organisations beyond the beneficiaries</w:t>
      </w:r>
    </w:p>
    <w:p w14:paraId="1D8720ED" w14:textId="5EF0FD6A" w:rsidR="005043F0" w:rsidRDefault="0047412C" w:rsidP="005043F0">
      <w:pPr>
        <w:pStyle w:val="Heading1"/>
        <w:rPr>
          <w:lang w:eastAsia="ar-SA"/>
        </w:rPr>
      </w:pPr>
      <w:bookmarkStart w:id="92" w:name="_Toc117674756"/>
      <w:bookmarkStart w:id="93" w:name="_Toc117696687"/>
      <w:bookmarkStart w:id="94" w:name="_Toc124769095"/>
      <w:bookmarkStart w:id="95" w:name="_Toc126757457"/>
      <w:bookmarkStart w:id="9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92"/>
      <w:bookmarkEnd w:id="93"/>
      <w:bookmarkEnd w:id="94"/>
      <w:bookmarkEnd w:id="95"/>
      <w:bookmarkEnd w:id="9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Programme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Programme Guide,. </w:t>
      </w:r>
    </w:p>
    <w:p w14:paraId="615DC316" w14:textId="1B648690"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14:paraId="55DA440F" w14:textId="2F697D7D" w:rsidR="003D74B3" w:rsidRPr="003D7516" w:rsidRDefault="0047412C" w:rsidP="003D74B3">
      <w:pPr>
        <w:pStyle w:val="Heading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50952419"/>
      <w:bookmarkEnd w:id="97"/>
      <w:bookmarkEnd w:id="98"/>
      <w:bookmarkEnd w:id="99"/>
      <w:bookmarkEnd w:id="100"/>
      <w:bookmarkEnd w:id="101"/>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02"/>
      <w:bookmarkEnd w:id="103"/>
      <w:bookmarkEnd w:id="104"/>
      <w:bookmarkEnd w:id="105"/>
      <w:bookmarkEnd w:id="106"/>
      <w:bookmarkEnd w:id="10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authorised to send original </w:t>
      </w:r>
      <w:r w:rsidRPr="001D44E1">
        <w:rPr>
          <w:rFonts w:eastAsia="Calibri"/>
          <w:lang w:eastAsia="ar-SA"/>
        </w:rPr>
        <w:lastRenderedPageBreak/>
        <w:t xml:space="preserve">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08" w:name="_Toc117674758"/>
      <w:bookmarkStart w:id="109" w:name="_Toc117696689"/>
      <w:bookmarkStart w:id="110" w:name="_Toc124769097"/>
      <w:bookmarkStart w:id="111" w:name="_Toc126757459"/>
      <w:bookmarkStart w:id="11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14:paraId="6EF0A368" w14:textId="663885D3" w:rsidR="0085580D" w:rsidRPr="0065476B" w:rsidRDefault="0085580D" w:rsidP="00C40FD4">
      <w:pPr>
        <w:suppressAutoHyphens/>
        <w:spacing w:line="276" w:lineRule="auto"/>
        <w:jc w:val="both"/>
        <w:rPr>
          <w:rFonts w:eastAsia="Calibri"/>
          <w:lang w:eastAsia="ar-SA"/>
        </w:rPr>
      </w:pPr>
      <w:bookmarkStart w:id="113" w:name="_Toc117674759"/>
      <w:bookmarkStart w:id="114" w:name="_Toc117696690"/>
      <w:bookmarkStart w:id="115" w:name="_Toc124769098"/>
      <w:bookmarkStart w:id="11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8" w:name="_Toc117674760"/>
      <w:bookmarkStart w:id="119" w:name="_Toc117696691"/>
      <w:bookmarkStart w:id="120" w:name="_Toc124769099"/>
      <w:bookmarkStart w:id="121" w:name="_Toc126757461"/>
      <w:bookmarkStart w:id="12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r>
        <w:rPr>
          <w:rFonts w:eastAsia="SimSun"/>
          <w:kern w:val="1"/>
          <w:lang w:eastAsia="ar-SA"/>
        </w:rPr>
        <w:t>P</w:t>
      </w:r>
      <w:r w:rsidRPr="0065476B">
        <w:rPr>
          <w:rFonts w:eastAsia="SimSun"/>
          <w:kern w:val="1"/>
          <w:lang w:eastAsia="ar-SA"/>
        </w:rPr>
        <w:t xml:space="preserve">rogramme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3" w:name="_Toc126757462"/>
      <w:bookmarkStart w:id="124" w:name="_Toc150952423"/>
      <w:bookmarkStart w:id="12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3"/>
      <w:bookmarkEnd w:id="124"/>
      <w:r w:rsidR="00AA16FF" w:rsidRPr="00735442">
        <w:t xml:space="preserve"> </w:t>
      </w:r>
      <w:bookmarkEnd w:id="125"/>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w:t>
      </w:r>
      <w:r w:rsidRPr="00780C6B">
        <w:lastRenderedPageBreak/>
        <w:t xml:space="preserve">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0C064F3F" w14:textId="36251A7F"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0FAC5594"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p>
    <w:p w14:paraId="59D360FD" w14:textId="0F01ACC5" w:rsidR="007132FD" w:rsidRPr="00D36EFC" w:rsidRDefault="0047412C" w:rsidP="007132FD">
      <w:pPr>
        <w:pStyle w:val="Heading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6"/>
      <w:bookmarkEnd w:id="127"/>
      <w:bookmarkEnd w:id="128"/>
      <w:bookmarkEnd w:id="129"/>
      <w:bookmarkEnd w:id="130"/>
      <w:bookmarkEnd w:id="131"/>
      <w:bookmarkEnd w:id="13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3" w:name="_Toc124769078"/>
      <w:bookmarkStart w:id="134" w:name="_Toc126757440"/>
      <w:bookmarkStart w:id="135" w:name="_Toc150952425"/>
      <w:r>
        <w:t>1</w:t>
      </w:r>
      <w:r w:rsidR="0047412C">
        <w:t>1</w:t>
      </w:r>
      <w:r>
        <w:t xml:space="preserve">. </w:t>
      </w:r>
      <w:r w:rsidRPr="00506B51">
        <w:rPr>
          <w:b w:val="0"/>
        </w:rPr>
        <w:t>Inclusion</w:t>
      </w:r>
      <w:r>
        <w:t xml:space="preserve"> support for participants with fewer opportunities</w:t>
      </w:r>
      <w:bookmarkEnd w:id="133"/>
      <w:bookmarkEnd w:id="134"/>
      <w:bookmarkEnd w:id="13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6" w:name="_Toc117591136"/>
      <w:bookmarkStart w:id="137" w:name="_Toc117674752"/>
      <w:bookmarkStart w:id="138" w:name="_Toc117696683"/>
      <w:bookmarkStart w:id="139" w:name="_Toc117699326"/>
      <w:bookmarkStart w:id="140" w:name="_Toc126757451"/>
      <w:bookmarkStart w:id="141" w:name="_Toc150952426"/>
      <w:bookmarkStart w:id="142" w:name="_Toc472514515"/>
      <w:bookmarkStart w:id="143" w:name="_Toc106118154"/>
      <w:bookmarkStart w:id="144" w:name="_Toc124769089"/>
      <w:bookmarkEnd w:id="136"/>
      <w:bookmarkEnd w:id="137"/>
      <w:bookmarkEnd w:id="138"/>
      <w:bookmarkEnd w:id="139"/>
      <w:r>
        <w:t>1</w:t>
      </w:r>
      <w:r w:rsidR="0047412C">
        <w:t>2</w:t>
      </w:r>
      <w:r w:rsidR="00076B99" w:rsidRPr="00401313">
        <w:t>.</w:t>
      </w:r>
      <w:r w:rsidR="00076B99">
        <w:t xml:space="preserve"> </w:t>
      </w:r>
      <w:r w:rsidR="00076B99" w:rsidRPr="00401313">
        <w:t>Protection and safety of participants</w:t>
      </w:r>
      <w:bookmarkEnd w:id="140"/>
      <w:bookmarkEnd w:id="141"/>
      <w:r w:rsidR="00076B99" w:rsidRPr="00401313">
        <w:t xml:space="preserve"> </w:t>
      </w:r>
      <w:bookmarkEnd w:id="142"/>
      <w:bookmarkEnd w:id="143"/>
      <w:bookmarkEnd w:id="144"/>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643B6A11" w14:textId="4710A851" w:rsidR="00E118BA" w:rsidRPr="00735442" w:rsidRDefault="00E118BA" w:rsidP="00E118BA">
      <w:pPr>
        <w:pStyle w:val="Heading1"/>
      </w:pPr>
      <w:bookmarkStart w:id="145" w:name="_Toc124769102"/>
      <w:bookmarkStart w:id="146" w:name="_Toc126757464"/>
      <w:bookmarkStart w:id="147" w:name="_Toc150952427"/>
      <w:bookmarkStart w:id="148" w:name="_Toc472514528"/>
      <w:bookmarkStart w:id="149" w:name="_Toc106118164"/>
      <w:r>
        <w:t>1</w:t>
      </w:r>
      <w:r w:rsidR="0047412C">
        <w:t>3</w:t>
      </w:r>
      <w:r>
        <w:t>. Monitoring and evaluation</w:t>
      </w:r>
      <w:r w:rsidRPr="00735442">
        <w:t xml:space="preserve"> </w:t>
      </w:r>
      <w:r>
        <w:t>of accreditations</w:t>
      </w:r>
      <w:bookmarkEnd w:id="145"/>
      <w:bookmarkEnd w:id="146"/>
      <w:bookmarkEnd w:id="14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w:t>
      </w:r>
      <w:r w:rsidRPr="005A59F2">
        <w:rPr>
          <w:rFonts w:eastAsia="Calibri"/>
          <w:lang w:eastAsia="ar-SA"/>
        </w:rPr>
        <w:lastRenderedPageBreak/>
        <w:t>implementation of the Erasmus Charter for Higher Education by the beneficiary and of the respect of the commitments defined in its inter-institutional agreements.</w:t>
      </w:r>
    </w:p>
    <w:p w14:paraId="0ACF12A3" w14:textId="6C976861" w:rsidR="002549CB" w:rsidRPr="00B54672" w:rsidRDefault="00E118BA" w:rsidP="00B54672">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bookmarkEnd w:id="148"/>
      <w:bookmarkEnd w:id="149"/>
    </w:p>
    <w:p w14:paraId="6D0D18A4" w14:textId="68152EAB" w:rsidR="00E118BA" w:rsidRPr="003C2ACF" w:rsidRDefault="005B7DE1" w:rsidP="00E118BA">
      <w:pPr>
        <w:pStyle w:val="Heading1"/>
      </w:pPr>
      <w:bookmarkStart w:id="150" w:name="_Toc126757466"/>
      <w:bookmarkStart w:id="151" w:name="_Toc150952429"/>
      <w:bookmarkStart w:id="152" w:name="_Toc124769104"/>
      <w:bookmarkStart w:id="153" w:name="_Toc117591145"/>
      <w:bookmarkStart w:id="154" w:name="_Toc117674767"/>
      <w:bookmarkStart w:id="155" w:name="_Toc117696698"/>
      <w:bookmarkStart w:id="156" w:name="_Toc117699342"/>
      <w:r>
        <w:t>1</w:t>
      </w:r>
      <w:r w:rsidR="00B54672">
        <w:t>4</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50"/>
      <w:bookmarkEnd w:id="151"/>
      <w:r w:rsidR="00E118BA" w:rsidRPr="003C2ACF" w:rsidDel="00901B66">
        <w:t xml:space="preserve"> </w:t>
      </w:r>
      <w:bookmarkEnd w:id="152"/>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Youthpass certificate. </w:t>
      </w:r>
    </w:p>
    <w:p w14:paraId="0D2EDBF9" w14:textId="2AB7E9F7" w:rsidR="00CC4D23" w:rsidRPr="00B54672" w:rsidRDefault="00E118BA" w:rsidP="00B54672">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Youthpass certificate to each individual participant requiring</w:t>
      </w:r>
      <w:r w:rsidR="005B7DE1">
        <w:rPr>
          <w:rFonts w:eastAsia="Calibri"/>
          <w:lang w:eastAsia="ar-SA"/>
        </w:rPr>
        <w:t xml:space="preserve"> it at the end of the activity.]</w:t>
      </w:r>
      <w:bookmarkStart w:id="157" w:name="_Hlk150952431"/>
      <w:bookmarkEnd w:id="153"/>
      <w:bookmarkEnd w:id="154"/>
      <w:bookmarkEnd w:id="155"/>
      <w:bookmarkEnd w:id="156"/>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bookmarkEnd w:id="157"/>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4578F8">
      <w:headerReference w:type="even" r:id="rId12"/>
      <w:headerReference w:type="default" r:id="rId13"/>
      <w:footerReference w:type="even" r:id="rId14"/>
      <w:footerReference w:type="default" r:id="rId15"/>
      <w:footerReference w:type="first" r:id="rId1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631A" w14:textId="77777777" w:rsidR="000F60B8" w:rsidRDefault="000F60B8">
      <w:r>
        <w:separator/>
      </w:r>
    </w:p>
  </w:endnote>
  <w:endnote w:type="continuationSeparator" w:id="0">
    <w:p w14:paraId="40593428" w14:textId="77777777" w:rsidR="000F60B8" w:rsidRDefault="000F60B8">
      <w:r>
        <w:continuationSeparator/>
      </w:r>
    </w:p>
  </w:endnote>
  <w:endnote w:type="continuationNotice" w:id="1">
    <w:p w14:paraId="686071FA" w14:textId="77777777" w:rsidR="000F60B8" w:rsidRDefault="000F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74B5" w14:textId="5C65322D"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8AC2" w14:textId="77777777" w:rsidR="000F60B8" w:rsidRDefault="000F60B8">
      <w:r>
        <w:separator/>
      </w:r>
    </w:p>
  </w:footnote>
  <w:footnote w:type="continuationSeparator" w:id="0">
    <w:p w14:paraId="66B320E1" w14:textId="77777777" w:rsidR="000F60B8" w:rsidRDefault="000F60B8">
      <w:r>
        <w:continuationSeparator/>
      </w:r>
    </w:p>
  </w:footnote>
  <w:footnote w:type="continuationNotice" w:id="1">
    <w:p w14:paraId="28BA8B34" w14:textId="77777777" w:rsidR="000F60B8" w:rsidRDefault="000F60B8"/>
  </w:footnote>
  <w:footnote w:id="2">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0"/>
  </w:num>
  <w:num w:numId="8" w16cid:durableId="1158377070">
    <w:abstractNumId w:val="73"/>
  </w:num>
  <w:num w:numId="9" w16cid:durableId="1241208227">
    <w:abstractNumId w:val="64"/>
  </w:num>
  <w:num w:numId="10" w16cid:durableId="813136590">
    <w:abstractNumId w:val="114"/>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8"/>
  </w:num>
  <w:num w:numId="18" w16cid:durableId="468480300">
    <w:abstractNumId w:val="111"/>
  </w:num>
  <w:num w:numId="19" w16cid:durableId="974062695">
    <w:abstractNumId w:val="76"/>
  </w:num>
  <w:num w:numId="20" w16cid:durableId="60830925">
    <w:abstractNumId w:val="6"/>
  </w:num>
  <w:num w:numId="21" w16cid:durableId="1793985129">
    <w:abstractNumId w:val="7"/>
  </w:num>
  <w:num w:numId="22" w16cid:durableId="249432108">
    <w:abstractNumId w:val="99"/>
  </w:num>
  <w:num w:numId="23" w16cid:durableId="1949966154">
    <w:abstractNumId w:val="31"/>
  </w:num>
  <w:num w:numId="24" w16cid:durableId="1948997121">
    <w:abstractNumId w:val="35"/>
  </w:num>
  <w:num w:numId="25" w16cid:durableId="55711106">
    <w:abstractNumId w:val="104"/>
  </w:num>
  <w:num w:numId="26" w16cid:durableId="1757051714">
    <w:abstractNumId w:val="50"/>
  </w:num>
  <w:num w:numId="27" w16cid:durableId="1494419046">
    <w:abstractNumId w:val="88"/>
  </w:num>
  <w:num w:numId="28" w16cid:durableId="551699340">
    <w:abstractNumId w:val="121"/>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0"/>
  </w:num>
  <w:num w:numId="41" w16cid:durableId="58288404">
    <w:abstractNumId w:val="81"/>
  </w:num>
  <w:num w:numId="42" w16cid:durableId="78523911">
    <w:abstractNumId w:val="122"/>
  </w:num>
  <w:num w:numId="43" w16cid:durableId="860314622">
    <w:abstractNumId w:val="70"/>
  </w:num>
  <w:num w:numId="44" w16cid:durableId="737947859">
    <w:abstractNumId w:val="101"/>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6"/>
  </w:num>
  <w:num w:numId="52" w16cid:durableId="500781743">
    <w:abstractNumId w:val="32"/>
  </w:num>
  <w:num w:numId="53" w16cid:durableId="1417050066">
    <w:abstractNumId w:val="97"/>
  </w:num>
  <w:num w:numId="54" w16cid:durableId="627902586">
    <w:abstractNumId w:val="116"/>
  </w:num>
  <w:num w:numId="55" w16cid:durableId="1571770662">
    <w:abstractNumId w:val="11"/>
  </w:num>
  <w:num w:numId="56" w16cid:durableId="849828657">
    <w:abstractNumId w:val="102"/>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3"/>
  </w:num>
  <w:num w:numId="62" w16cid:durableId="2052920936">
    <w:abstractNumId w:val="59"/>
  </w:num>
  <w:num w:numId="63" w16cid:durableId="1443918178">
    <w:abstractNumId w:val="109"/>
  </w:num>
  <w:num w:numId="64" w16cid:durableId="911234548">
    <w:abstractNumId w:val="20"/>
  </w:num>
  <w:num w:numId="65" w16cid:durableId="359205974">
    <w:abstractNumId w:val="33"/>
  </w:num>
  <w:num w:numId="66" w16cid:durableId="295451689">
    <w:abstractNumId w:val="115"/>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3"/>
  </w:num>
  <w:num w:numId="77" w16cid:durableId="712507674">
    <w:abstractNumId w:val="119"/>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5"/>
  </w:num>
  <w:num w:numId="84" w16cid:durableId="1810244615">
    <w:abstractNumId w:val="80"/>
  </w:num>
  <w:num w:numId="85" w16cid:durableId="603612534">
    <w:abstractNumId w:val="107"/>
  </w:num>
  <w:num w:numId="86" w16cid:durableId="1363550565">
    <w:abstractNumId w:val="66"/>
  </w:num>
  <w:num w:numId="87" w16cid:durableId="282885121">
    <w:abstractNumId w:val="124"/>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2"/>
  </w:num>
  <w:num w:numId="97" w16cid:durableId="1285305069">
    <w:abstractNumId w:val="113"/>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6"/>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5"/>
  </w:num>
  <w:num w:numId="112" w16cid:durableId="825248588">
    <w:abstractNumId w:val="108"/>
  </w:num>
  <w:num w:numId="113" w16cid:durableId="1897623820">
    <w:abstractNumId w:val="67"/>
  </w:num>
  <w:num w:numId="114" w16cid:durableId="982081808">
    <w:abstractNumId w:val="69"/>
  </w:num>
  <w:num w:numId="115" w16cid:durableId="193466306">
    <w:abstractNumId w:val="117"/>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8"/>
  </w:num>
  <w:num w:numId="125" w16cid:durableId="1242182255">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defaultTabStop w:val="720"/>
  <w:hyphenationZone w:val="425"/>
  <w:evenAndOddHeaders/>
  <w:drawingGridHorizontalSpacing w:val="181"/>
  <w:drawingGridVerticalSpacing w:val="181"/>
  <w:characterSpacingControl w:val="compressPunctuation"/>
  <w:hdrShapeDefaults>
    <o:shapedefaults v:ext="edit" spidmax="2050"/>
  </w:hdrShapeDefaults>
  <w:footnotePr>
    <w:numStart w:val="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70"/>
    <w:rsid w:val="00010CAC"/>
    <w:rsid w:val="000120BE"/>
    <w:rsid w:val="00012169"/>
    <w:rsid w:val="000139AB"/>
    <w:rsid w:val="00014BDD"/>
    <w:rsid w:val="00015A08"/>
    <w:rsid w:val="00017BC8"/>
    <w:rsid w:val="00024AA5"/>
    <w:rsid w:val="00024EA4"/>
    <w:rsid w:val="00031C51"/>
    <w:rsid w:val="000345E9"/>
    <w:rsid w:val="00055DA3"/>
    <w:rsid w:val="00056CD5"/>
    <w:rsid w:val="00064B7C"/>
    <w:rsid w:val="00064F0F"/>
    <w:rsid w:val="00076B99"/>
    <w:rsid w:val="000777B8"/>
    <w:rsid w:val="00082BBA"/>
    <w:rsid w:val="00092D0E"/>
    <w:rsid w:val="0009458D"/>
    <w:rsid w:val="000B04B5"/>
    <w:rsid w:val="000B4A8C"/>
    <w:rsid w:val="000B4ADF"/>
    <w:rsid w:val="000D25A1"/>
    <w:rsid w:val="000D5CB8"/>
    <w:rsid w:val="000D6416"/>
    <w:rsid w:val="000E0646"/>
    <w:rsid w:val="000E2175"/>
    <w:rsid w:val="000F4024"/>
    <w:rsid w:val="000F4BBB"/>
    <w:rsid w:val="000F60B8"/>
    <w:rsid w:val="000F76D0"/>
    <w:rsid w:val="00101C0F"/>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4CB4"/>
    <w:rsid w:val="001756B5"/>
    <w:rsid w:val="00182F4D"/>
    <w:rsid w:val="001839E8"/>
    <w:rsid w:val="00184861"/>
    <w:rsid w:val="00192A6C"/>
    <w:rsid w:val="001958FC"/>
    <w:rsid w:val="001A12F5"/>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11B1"/>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8F0"/>
    <w:rsid w:val="002942C6"/>
    <w:rsid w:val="00296435"/>
    <w:rsid w:val="002977B7"/>
    <w:rsid w:val="002A247F"/>
    <w:rsid w:val="002A71BE"/>
    <w:rsid w:val="002C0853"/>
    <w:rsid w:val="002C102C"/>
    <w:rsid w:val="002E12FE"/>
    <w:rsid w:val="002E1D26"/>
    <w:rsid w:val="002E33C7"/>
    <w:rsid w:val="002E5BEE"/>
    <w:rsid w:val="002F7D02"/>
    <w:rsid w:val="00306A61"/>
    <w:rsid w:val="00313993"/>
    <w:rsid w:val="0031556B"/>
    <w:rsid w:val="00317A7F"/>
    <w:rsid w:val="003211CC"/>
    <w:rsid w:val="003244EC"/>
    <w:rsid w:val="0032588D"/>
    <w:rsid w:val="00337090"/>
    <w:rsid w:val="00344490"/>
    <w:rsid w:val="003522BA"/>
    <w:rsid w:val="00360189"/>
    <w:rsid w:val="00360DC5"/>
    <w:rsid w:val="0036609E"/>
    <w:rsid w:val="00373135"/>
    <w:rsid w:val="00374100"/>
    <w:rsid w:val="00376C43"/>
    <w:rsid w:val="003906F2"/>
    <w:rsid w:val="00392369"/>
    <w:rsid w:val="0039255D"/>
    <w:rsid w:val="00395A68"/>
    <w:rsid w:val="003A18AA"/>
    <w:rsid w:val="003A33C8"/>
    <w:rsid w:val="003A4DC1"/>
    <w:rsid w:val="003B392E"/>
    <w:rsid w:val="003C4D4D"/>
    <w:rsid w:val="003D3FDD"/>
    <w:rsid w:val="003D74B3"/>
    <w:rsid w:val="003E29FA"/>
    <w:rsid w:val="003E2E51"/>
    <w:rsid w:val="003F1B7B"/>
    <w:rsid w:val="003F6DFF"/>
    <w:rsid w:val="00400686"/>
    <w:rsid w:val="00401313"/>
    <w:rsid w:val="00401651"/>
    <w:rsid w:val="00403438"/>
    <w:rsid w:val="00404464"/>
    <w:rsid w:val="0040670A"/>
    <w:rsid w:val="00406B53"/>
    <w:rsid w:val="00410280"/>
    <w:rsid w:val="00411746"/>
    <w:rsid w:val="00411998"/>
    <w:rsid w:val="00415D90"/>
    <w:rsid w:val="0044631E"/>
    <w:rsid w:val="004578F8"/>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68A6"/>
    <w:rsid w:val="004D3D29"/>
    <w:rsid w:val="004E5A91"/>
    <w:rsid w:val="004F40F4"/>
    <w:rsid w:val="004F7407"/>
    <w:rsid w:val="005043F0"/>
    <w:rsid w:val="00506B51"/>
    <w:rsid w:val="005150E1"/>
    <w:rsid w:val="00523AE0"/>
    <w:rsid w:val="00524229"/>
    <w:rsid w:val="005302FD"/>
    <w:rsid w:val="00540BE8"/>
    <w:rsid w:val="0054164A"/>
    <w:rsid w:val="00542132"/>
    <w:rsid w:val="00547864"/>
    <w:rsid w:val="00560664"/>
    <w:rsid w:val="005715E8"/>
    <w:rsid w:val="0057347A"/>
    <w:rsid w:val="005741C0"/>
    <w:rsid w:val="00575568"/>
    <w:rsid w:val="00576104"/>
    <w:rsid w:val="005765D0"/>
    <w:rsid w:val="0058005D"/>
    <w:rsid w:val="00580870"/>
    <w:rsid w:val="00583328"/>
    <w:rsid w:val="00590B19"/>
    <w:rsid w:val="005A59F2"/>
    <w:rsid w:val="005B3A28"/>
    <w:rsid w:val="005B6582"/>
    <w:rsid w:val="005B7DE1"/>
    <w:rsid w:val="005C4B56"/>
    <w:rsid w:val="005C4F38"/>
    <w:rsid w:val="005D3CDD"/>
    <w:rsid w:val="005E2E96"/>
    <w:rsid w:val="005E517C"/>
    <w:rsid w:val="005E6BB8"/>
    <w:rsid w:val="005E7BBB"/>
    <w:rsid w:val="005F1CEF"/>
    <w:rsid w:val="005F4A61"/>
    <w:rsid w:val="005F4B92"/>
    <w:rsid w:val="005F66AB"/>
    <w:rsid w:val="005F78AF"/>
    <w:rsid w:val="0060346C"/>
    <w:rsid w:val="00603E55"/>
    <w:rsid w:val="00607747"/>
    <w:rsid w:val="00607B1F"/>
    <w:rsid w:val="00607C9C"/>
    <w:rsid w:val="00613198"/>
    <w:rsid w:val="006143A5"/>
    <w:rsid w:val="00620B73"/>
    <w:rsid w:val="00621922"/>
    <w:rsid w:val="006340F0"/>
    <w:rsid w:val="00635940"/>
    <w:rsid w:val="00636782"/>
    <w:rsid w:val="00640635"/>
    <w:rsid w:val="00642C7D"/>
    <w:rsid w:val="00650E61"/>
    <w:rsid w:val="0065265A"/>
    <w:rsid w:val="00655525"/>
    <w:rsid w:val="00655B2F"/>
    <w:rsid w:val="00664269"/>
    <w:rsid w:val="00666E4F"/>
    <w:rsid w:val="00677EE8"/>
    <w:rsid w:val="00677FB3"/>
    <w:rsid w:val="00683285"/>
    <w:rsid w:val="00690414"/>
    <w:rsid w:val="00691DF7"/>
    <w:rsid w:val="00694493"/>
    <w:rsid w:val="006A3371"/>
    <w:rsid w:val="006A77F1"/>
    <w:rsid w:val="006B4072"/>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10231"/>
    <w:rsid w:val="0071053F"/>
    <w:rsid w:val="00712D48"/>
    <w:rsid w:val="007132FD"/>
    <w:rsid w:val="007220E7"/>
    <w:rsid w:val="00723F8B"/>
    <w:rsid w:val="00731287"/>
    <w:rsid w:val="00731368"/>
    <w:rsid w:val="0073712D"/>
    <w:rsid w:val="00753EE5"/>
    <w:rsid w:val="007542EC"/>
    <w:rsid w:val="007576F9"/>
    <w:rsid w:val="007603B4"/>
    <w:rsid w:val="00767E96"/>
    <w:rsid w:val="00775C34"/>
    <w:rsid w:val="00786585"/>
    <w:rsid w:val="00786BF5"/>
    <w:rsid w:val="00791806"/>
    <w:rsid w:val="00792108"/>
    <w:rsid w:val="00797C0C"/>
    <w:rsid w:val="007A2179"/>
    <w:rsid w:val="007C789B"/>
    <w:rsid w:val="007D0B84"/>
    <w:rsid w:val="007D3B50"/>
    <w:rsid w:val="007E0BE1"/>
    <w:rsid w:val="00801223"/>
    <w:rsid w:val="00804884"/>
    <w:rsid w:val="0080492E"/>
    <w:rsid w:val="00805439"/>
    <w:rsid w:val="00813C53"/>
    <w:rsid w:val="00822C70"/>
    <w:rsid w:val="008250A4"/>
    <w:rsid w:val="008259E0"/>
    <w:rsid w:val="00842FBD"/>
    <w:rsid w:val="00843695"/>
    <w:rsid w:val="00846140"/>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C6E12"/>
    <w:rsid w:val="008D1C07"/>
    <w:rsid w:val="008D58E7"/>
    <w:rsid w:val="008D5D92"/>
    <w:rsid w:val="008E0098"/>
    <w:rsid w:val="008E1978"/>
    <w:rsid w:val="008E7602"/>
    <w:rsid w:val="008F0A0A"/>
    <w:rsid w:val="009027F7"/>
    <w:rsid w:val="00902B6C"/>
    <w:rsid w:val="009032AF"/>
    <w:rsid w:val="0090417F"/>
    <w:rsid w:val="00907075"/>
    <w:rsid w:val="00910E41"/>
    <w:rsid w:val="009134CE"/>
    <w:rsid w:val="0092002C"/>
    <w:rsid w:val="00921F45"/>
    <w:rsid w:val="0092717E"/>
    <w:rsid w:val="00932DA2"/>
    <w:rsid w:val="00935F20"/>
    <w:rsid w:val="009435A5"/>
    <w:rsid w:val="009473DA"/>
    <w:rsid w:val="00947D32"/>
    <w:rsid w:val="00956954"/>
    <w:rsid w:val="00962FFA"/>
    <w:rsid w:val="009702A3"/>
    <w:rsid w:val="00976B10"/>
    <w:rsid w:val="00983A70"/>
    <w:rsid w:val="009878CF"/>
    <w:rsid w:val="00991B75"/>
    <w:rsid w:val="00996E89"/>
    <w:rsid w:val="00997236"/>
    <w:rsid w:val="009A3428"/>
    <w:rsid w:val="009A73CB"/>
    <w:rsid w:val="009A7F0C"/>
    <w:rsid w:val="009B1382"/>
    <w:rsid w:val="009B344C"/>
    <w:rsid w:val="009B5F56"/>
    <w:rsid w:val="009C39E6"/>
    <w:rsid w:val="009C5CCF"/>
    <w:rsid w:val="009E47DE"/>
    <w:rsid w:val="009F2826"/>
    <w:rsid w:val="00A01A6F"/>
    <w:rsid w:val="00A07ED3"/>
    <w:rsid w:val="00A13BF1"/>
    <w:rsid w:val="00A23437"/>
    <w:rsid w:val="00A23E43"/>
    <w:rsid w:val="00A30FE7"/>
    <w:rsid w:val="00A310A2"/>
    <w:rsid w:val="00A31A6E"/>
    <w:rsid w:val="00A33C5D"/>
    <w:rsid w:val="00A36070"/>
    <w:rsid w:val="00A5158F"/>
    <w:rsid w:val="00A51B7D"/>
    <w:rsid w:val="00A56A84"/>
    <w:rsid w:val="00A62435"/>
    <w:rsid w:val="00A624A0"/>
    <w:rsid w:val="00A63431"/>
    <w:rsid w:val="00A652DB"/>
    <w:rsid w:val="00A8265C"/>
    <w:rsid w:val="00A83C07"/>
    <w:rsid w:val="00A90ECF"/>
    <w:rsid w:val="00A920C0"/>
    <w:rsid w:val="00AA16FF"/>
    <w:rsid w:val="00AA1D35"/>
    <w:rsid w:val="00AA2369"/>
    <w:rsid w:val="00AA27BF"/>
    <w:rsid w:val="00AA2D48"/>
    <w:rsid w:val="00AA3546"/>
    <w:rsid w:val="00AB114A"/>
    <w:rsid w:val="00AD1794"/>
    <w:rsid w:val="00AD5066"/>
    <w:rsid w:val="00AE13DC"/>
    <w:rsid w:val="00AE1EDB"/>
    <w:rsid w:val="00AE5ED7"/>
    <w:rsid w:val="00AF027B"/>
    <w:rsid w:val="00AF2136"/>
    <w:rsid w:val="00B019C7"/>
    <w:rsid w:val="00B37903"/>
    <w:rsid w:val="00B41B35"/>
    <w:rsid w:val="00B461DC"/>
    <w:rsid w:val="00B53F12"/>
    <w:rsid w:val="00B54672"/>
    <w:rsid w:val="00B623A9"/>
    <w:rsid w:val="00B65072"/>
    <w:rsid w:val="00B73824"/>
    <w:rsid w:val="00B73AB2"/>
    <w:rsid w:val="00B73D2B"/>
    <w:rsid w:val="00B860E3"/>
    <w:rsid w:val="00B9061B"/>
    <w:rsid w:val="00B90E24"/>
    <w:rsid w:val="00BA3336"/>
    <w:rsid w:val="00BA48CE"/>
    <w:rsid w:val="00BA68B5"/>
    <w:rsid w:val="00BB5AEC"/>
    <w:rsid w:val="00BD65D8"/>
    <w:rsid w:val="00BD6708"/>
    <w:rsid w:val="00BD6C60"/>
    <w:rsid w:val="00BE26A5"/>
    <w:rsid w:val="00BE26F6"/>
    <w:rsid w:val="00BE2F06"/>
    <w:rsid w:val="00BE48A7"/>
    <w:rsid w:val="00BE6EB6"/>
    <w:rsid w:val="00BF2340"/>
    <w:rsid w:val="00BF3994"/>
    <w:rsid w:val="00BF70E4"/>
    <w:rsid w:val="00BF724A"/>
    <w:rsid w:val="00C06835"/>
    <w:rsid w:val="00C10A1D"/>
    <w:rsid w:val="00C14658"/>
    <w:rsid w:val="00C40FD4"/>
    <w:rsid w:val="00C415A0"/>
    <w:rsid w:val="00C428B6"/>
    <w:rsid w:val="00C506BC"/>
    <w:rsid w:val="00C51047"/>
    <w:rsid w:val="00C5134A"/>
    <w:rsid w:val="00C541D4"/>
    <w:rsid w:val="00C544C0"/>
    <w:rsid w:val="00C56E1A"/>
    <w:rsid w:val="00C61547"/>
    <w:rsid w:val="00C61E1B"/>
    <w:rsid w:val="00C65665"/>
    <w:rsid w:val="00C66975"/>
    <w:rsid w:val="00C706B5"/>
    <w:rsid w:val="00C71676"/>
    <w:rsid w:val="00C74AC1"/>
    <w:rsid w:val="00C811E2"/>
    <w:rsid w:val="00C83201"/>
    <w:rsid w:val="00C83FBF"/>
    <w:rsid w:val="00C8523E"/>
    <w:rsid w:val="00C911A1"/>
    <w:rsid w:val="00C952C0"/>
    <w:rsid w:val="00CA2CB2"/>
    <w:rsid w:val="00CA3B66"/>
    <w:rsid w:val="00CA416A"/>
    <w:rsid w:val="00CA67A4"/>
    <w:rsid w:val="00CB0798"/>
    <w:rsid w:val="00CB1335"/>
    <w:rsid w:val="00CB2620"/>
    <w:rsid w:val="00CB549A"/>
    <w:rsid w:val="00CC2DA9"/>
    <w:rsid w:val="00CC4D23"/>
    <w:rsid w:val="00CD1509"/>
    <w:rsid w:val="00CD30BB"/>
    <w:rsid w:val="00CD65FD"/>
    <w:rsid w:val="00CE026C"/>
    <w:rsid w:val="00CE1A01"/>
    <w:rsid w:val="00CE5E06"/>
    <w:rsid w:val="00CE6EC2"/>
    <w:rsid w:val="00CF38AE"/>
    <w:rsid w:val="00CF3F32"/>
    <w:rsid w:val="00CF49C3"/>
    <w:rsid w:val="00CF5CC1"/>
    <w:rsid w:val="00D03B04"/>
    <w:rsid w:val="00D07F16"/>
    <w:rsid w:val="00D12933"/>
    <w:rsid w:val="00D165BE"/>
    <w:rsid w:val="00D31B06"/>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B02D3"/>
    <w:rsid w:val="00DB41F0"/>
    <w:rsid w:val="00DB511C"/>
    <w:rsid w:val="00DB5986"/>
    <w:rsid w:val="00DB61C3"/>
    <w:rsid w:val="00DC33F4"/>
    <w:rsid w:val="00DE0DD5"/>
    <w:rsid w:val="00DE3A78"/>
    <w:rsid w:val="00DE555F"/>
    <w:rsid w:val="00DE6CF3"/>
    <w:rsid w:val="00DF5D0D"/>
    <w:rsid w:val="00E110BB"/>
    <w:rsid w:val="00E118BA"/>
    <w:rsid w:val="00E124B4"/>
    <w:rsid w:val="00E15E2C"/>
    <w:rsid w:val="00E20B18"/>
    <w:rsid w:val="00E3075D"/>
    <w:rsid w:val="00E307CF"/>
    <w:rsid w:val="00E4422A"/>
    <w:rsid w:val="00E44741"/>
    <w:rsid w:val="00E460A5"/>
    <w:rsid w:val="00E461BF"/>
    <w:rsid w:val="00E52D08"/>
    <w:rsid w:val="00E536E4"/>
    <w:rsid w:val="00E53D40"/>
    <w:rsid w:val="00E72770"/>
    <w:rsid w:val="00E81CB3"/>
    <w:rsid w:val="00E8343A"/>
    <w:rsid w:val="00E86979"/>
    <w:rsid w:val="00E90A71"/>
    <w:rsid w:val="00E920C3"/>
    <w:rsid w:val="00E9226E"/>
    <w:rsid w:val="00E93FC4"/>
    <w:rsid w:val="00EA5671"/>
    <w:rsid w:val="00EA585A"/>
    <w:rsid w:val="00EA712A"/>
    <w:rsid w:val="00EB7D1C"/>
    <w:rsid w:val="00EC245D"/>
    <w:rsid w:val="00ED0266"/>
    <w:rsid w:val="00ED4E64"/>
    <w:rsid w:val="00ED5832"/>
    <w:rsid w:val="00EE248E"/>
    <w:rsid w:val="00EE7EDC"/>
    <w:rsid w:val="00EF45F9"/>
    <w:rsid w:val="00EF6531"/>
    <w:rsid w:val="00F0303C"/>
    <w:rsid w:val="00F0722E"/>
    <w:rsid w:val="00F073B2"/>
    <w:rsid w:val="00F11BA2"/>
    <w:rsid w:val="00F17688"/>
    <w:rsid w:val="00F3175F"/>
    <w:rsid w:val="00F323AE"/>
    <w:rsid w:val="00F33090"/>
    <w:rsid w:val="00F3418D"/>
    <w:rsid w:val="00F34A83"/>
    <w:rsid w:val="00F42A6C"/>
    <w:rsid w:val="00F441F2"/>
    <w:rsid w:val="00F457CC"/>
    <w:rsid w:val="00F50325"/>
    <w:rsid w:val="00F54EF8"/>
    <w:rsid w:val="00F65FD0"/>
    <w:rsid w:val="00F662A2"/>
    <w:rsid w:val="00F727BF"/>
    <w:rsid w:val="00F76DDB"/>
    <w:rsid w:val="00F76EAB"/>
    <w:rsid w:val="00F81169"/>
    <w:rsid w:val="00F8752D"/>
    <w:rsid w:val="00F92D11"/>
    <w:rsid w:val="00F9757F"/>
    <w:rsid w:val="00FA1F15"/>
    <w:rsid w:val="00FB7C27"/>
    <w:rsid w:val="00FC0765"/>
    <w:rsid w:val="00FC28E0"/>
    <w:rsid w:val="00FC33DE"/>
    <w:rsid w:val="00FC368B"/>
    <w:rsid w:val="00FD08A5"/>
    <w:rsid w:val="00FD29FD"/>
    <w:rsid w:val="00FE38F6"/>
    <w:rsid w:val="00FE5D33"/>
    <w:rsid w:val="00FF0A41"/>
    <w:rsid w:val="00FF44BE"/>
    <w:rsid w:val="00FF4E2F"/>
    <w:rsid w:val="01717889"/>
    <w:rsid w:val="02B29D24"/>
    <w:rsid w:val="03210426"/>
    <w:rsid w:val="033B6406"/>
    <w:rsid w:val="04D73467"/>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05402"/>
  <w15:docId w15:val="{A741DB18-322E-47A0-BFF1-CB22D82D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5" ma:contentTypeDescription="Create a new document." ma:contentTypeScope="" ma:versionID="0c996408fedbb78f0907f735a61022f1">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24608ee4f6d91d7fe75e29f85f64d0a4"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2.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3.xml><?xml version="1.0" encoding="utf-8"?>
<ds:datastoreItem xmlns:ds="http://schemas.openxmlformats.org/officeDocument/2006/customXml" ds:itemID="{A363B824-CEC7-4E97-BA86-D6F7D4921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688DD-A51F-4A92-8148-76A735E5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1890</Words>
  <Characters>10510</Characters>
  <Application>Microsoft Office Word</Application>
  <DocSecurity>0</DocSecurity>
  <Lines>184</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12301</CharactersWithSpaces>
  <SharedDoc>false</SharedDoc>
  <HLinks>
    <vt:vector size="1092" baseType="variant">
      <vt:variant>
        <vt:i4>6029358</vt:i4>
      </vt:variant>
      <vt:variant>
        <vt:i4>1059</vt:i4>
      </vt:variant>
      <vt:variant>
        <vt:i4>0</vt:i4>
      </vt:variant>
      <vt:variant>
        <vt:i4>5</vt:i4>
      </vt:variant>
      <vt:variant>
        <vt:lpwstr>https://commission.europa.eu/funding-tenders/managing-your-project/communicating-and-raising-eu-visibility_en</vt:lpwstr>
      </vt:variant>
      <vt:variant>
        <vt:lpwstr/>
      </vt:variant>
      <vt:variant>
        <vt:i4>7536697</vt:i4>
      </vt:variant>
      <vt:variant>
        <vt:i4>1056</vt:i4>
      </vt:variant>
      <vt:variant>
        <vt:i4>0</vt:i4>
      </vt:variant>
      <vt:variant>
        <vt:i4>5</vt:i4>
      </vt:variant>
      <vt:variant>
        <vt:lpwstr>https://ec.europa.eu/erasmus-esc-personal-data</vt:lpwstr>
      </vt:variant>
      <vt:variant>
        <vt:lpwstr/>
      </vt:variant>
      <vt:variant>
        <vt:i4>7536697</vt:i4>
      </vt:variant>
      <vt:variant>
        <vt:i4>1053</vt:i4>
      </vt:variant>
      <vt:variant>
        <vt:i4>0</vt:i4>
      </vt:variant>
      <vt:variant>
        <vt:i4>5</vt:i4>
      </vt:variant>
      <vt:variant>
        <vt:lpwstr>https://ec.europa.eu/erasmus-esc-personal-data</vt:lpwstr>
      </vt:variant>
      <vt:variant>
        <vt:lpwstr/>
      </vt:variant>
      <vt:variant>
        <vt:i4>1441850</vt:i4>
      </vt:variant>
      <vt:variant>
        <vt:i4>1046</vt:i4>
      </vt:variant>
      <vt:variant>
        <vt:i4>0</vt:i4>
      </vt:variant>
      <vt:variant>
        <vt:i4>5</vt:i4>
      </vt:variant>
      <vt:variant>
        <vt:lpwstr/>
      </vt:variant>
      <vt:variant>
        <vt:lpwstr>_Toc129176549</vt:lpwstr>
      </vt:variant>
      <vt:variant>
        <vt:i4>1441850</vt:i4>
      </vt:variant>
      <vt:variant>
        <vt:i4>1040</vt:i4>
      </vt:variant>
      <vt:variant>
        <vt:i4>0</vt:i4>
      </vt:variant>
      <vt:variant>
        <vt:i4>5</vt:i4>
      </vt:variant>
      <vt:variant>
        <vt:lpwstr/>
      </vt:variant>
      <vt:variant>
        <vt:lpwstr>_Toc129176548</vt:lpwstr>
      </vt:variant>
      <vt:variant>
        <vt:i4>1441850</vt:i4>
      </vt:variant>
      <vt:variant>
        <vt:i4>1034</vt:i4>
      </vt:variant>
      <vt:variant>
        <vt:i4>0</vt:i4>
      </vt:variant>
      <vt:variant>
        <vt:i4>5</vt:i4>
      </vt:variant>
      <vt:variant>
        <vt:lpwstr/>
      </vt:variant>
      <vt:variant>
        <vt:lpwstr>_Toc129176547</vt:lpwstr>
      </vt:variant>
      <vt:variant>
        <vt:i4>1441850</vt:i4>
      </vt:variant>
      <vt:variant>
        <vt:i4>1028</vt:i4>
      </vt:variant>
      <vt:variant>
        <vt:i4>0</vt:i4>
      </vt:variant>
      <vt:variant>
        <vt:i4>5</vt:i4>
      </vt:variant>
      <vt:variant>
        <vt:lpwstr/>
      </vt:variant>
      <vt:variant>
        <vt:lpwstr>_Toc129176546</vt:lpwstr>
      </vt:variant>
      <vt:variant>
        <vt:i4>1441850</vt:i4>
      </vt:variant>
      <vt:variant>
        <vt:i4>1022</vt:i4>
      </vt:variant>
      <vt:variant>
        <vt:i4>0</vt:i4>
      </vt:variant>
      <vt:variant>
        <vt:i4>5</vt:i4>
      </vt:variant>
      <vt:variant>
        <vt:lpwstr/>
      </vt:variant>
      <vt:variant>
        <vt:lpwstr>_Toc129176545</vt:lpwstr>
      </vt:variant>
      <vt:variant>
        <vt:i4>1441850</vt:i4>
      </vt:variant>
      <vt:variant>
        <vt:i4>1016</vt:i4>
      </vt:variant>
      <vt:variant>
        <vt:i4>0</vt:i4>
      </vt:variant>
      <vt:variant>
        <vt:i4>5</vt:i4>
      </vt:variant>
      <vt:variant>
        <vt:lpwstr/>
      </vt:variant>
      <vt:variant>
        <vt:lpwstr>_Toc129176544</vt:lpwstr>
      </vt:variant>
      <vt:variant>
        <vt:i4>1441850</vt:i4>
      </vt:variant>
      <vt:variant>
        <vt:i4>1010</vt:i4>
      </vt:variant>
      <vt:variant>
        <vt:i4>0</vt:i4>
      </vt:variant>
      <vt:variant>
        <vt:i4>5</vt:i4>
      </vt:variant>
      <vt:variant>
        <vt:lpwstr/>
      </vt:variant>
      <vt:variant>
        <vt:lpwstr>_Toc129176543</vt:lpwstr>
      </vt:variant>
      <vt:variant>
        <vt:i4>1441850</vt:i4>
      </vt:variant>
      <vt:variant>
        <vt:i4>1004</vt:i4>
      </vt:variant>
      <vt:variant>
        <vt:i4>0</vt:i4>
      </vt:variant>
      <vt:variant>
        <vt:i4>5</vt:i4>
      </vt:variant>
      <vt:variant>
        <vt:lpwstr/>
      </vt:variant>
      <vt:variant>
        <vt:lpwstr>_Toc129176542</vt:lpwstr>
      </vt:variant>
      <vt:variant>
        <vt:i4>1441850</vt:i4>
      </vt:variant>
      <vt:variant>
        <vt:i4>998</vt:i4>
      </vt:variant>
      <vt:variant>
        <vt:i4>0</vt:i4>
      </vt:variant>
      <vt:variant>
        <vt:i4>5</vt:i4>
      </vt:variant>
      <vt:variant>
        <vt:lpwstr/>
      </vt:variant>
      <vt:variant>
        <vt:lpwstr>_Toc129176541</vt:lpwstr>
      </vt:variant>
      <vt:variant>
        <vt:i4>1441850</vt:i4>
      </vt:variant>
      <vt:variant>
        <vt:i4>992</vt:i4>
      </vt:variant>
      <vt:variant>
        <vt:i4>0</vt:i4>
      </vt:variant>
      <vt:variant>
        <vt:i4>5</vt:i4>
      </vt:variant>
      <vt:variant>
        <vt:lpwstr/>
      </vt:variant>
      <vt:variant>
        <vt:lpwstr>_Toc129176540</vt:lpwstr>
      </vt:variant>
      <vt:variant>
        <vt:i4>1114170</vt:i4>
      </vt:variant>
      <vt:variant>
        <vt:i4>986</vt:i4>
      </vt:variant>
      <vt:variant>
        <vt:i4>0</vt:i4>
      </vt:variant>
      <vt:variant>
        <vt:i4>5</vt:i4>
      </vt:variant>
      <vt:variant>
        <vt:lpwstr/>
      </vt:variant>
      <vt:variant>
        <vt:lpwstr>_Toc129176539</vt:lpwstr>
      </vt:variant>
      <vt:variant>
        <vt:i4>1114170</vt:i4>
      </vt:variant>
      <vt:variant>
        <vt:i4>980</vt:i4>
      </vt:variant>
      <vt:variant>
        <vt:i4>0</vt:i4>
      </vt:variant>
      <vt:variant>
        <vt:i4>5</vt:i4>
      </vt:variant>
      <vt:variant>
        <vt:lpwstr/>
      </vt:variant>
      <vt:variant>
        <vt:lpwstr>_Toc129176538</vt:lpwstr>
      </vt:variant>
      <vt:variant>
        <vt:i4>1114170</vt:i4>
      </vt:variant>
      <vt:variant>
        <vt:i4>974</vt:i4>
      </vt:variant>
      <vt:variant>
        <vt:i4>0</vt:i4>
      </vt:variant>
      <vt:variant>
        <vt:i4>5</vt:i4>
      </vt:variant>
      <vt:variant>
        <vt:lpwstr/>
      </vt:variant>
      <vt:variant>
        <vt:lpwstr>_Toc129176537</vt:lpwstr>
      </vt:variant>
      <vt:variant>
        <vt:i4>1114170</vt:i4>
      </vt:variant>
      <vt:variant>
        <vt:i4>968</vt:i4>
      </vt:variant>
      <vt:variant>
        <vt:i4>0</vt:i4>
      </vt:variant>
      <vt:variant>
        <vt:i4>5</vt:i4>
      </vt:variant>
      <vt:variant>
        <vt:lpwstr/>
      </vt:variant>
      <vt:variant>
        <vt:lpwstr>_Toc129176536</vt:lpwstr>
      </vt:variant>
      <vt:variant>
        <vt:i4>1114170</vt:i4>
      </vt:variant>
      <vt:variant>
        <vt:i4>962</vt:i4>
      </vt:variant>
      <vt:variant>
        <vt:i4>0</vt:i4>
      </vt:variant>
      <vt:variant>
        <vt:i4>5</vt:i4>
      </vt:variant>
      <vt:variant>
        <vt:lpwstr/>
      </vt:variant>
      <vt:variant>
        <vt:lpwstr>_Toc129176535</vt:lpwstr>
      </vt:variant>
      <vt:variant>
        <vt:i4>1114170</vt:i4>
      </vt:variant>
      <vt:variant>
        <vt:i4>956</vt:i4>
      </vt:variant>
      <vt:variant>
        <vt:i4>0</vt:i4>
      </vt:variant>
      <vt:variant>
        <vt:i4>5</vt:i4>
      </vt:variant>
      <vt:variant>
        <vt:lpwstr/>
      </vt:variant>
      <vt:variant>
        <vt:lpwstr>_Toc129176534</vt:lpwstr>
      </vt:variant>
      <vt:variant>
        <vt:i4>1114170</vt:i4>
      </vt:variant>
      <vt:variant>
        <vt:i4>950</vt:i4>
      </vt:variant>
      <vt:variant>
        <vt:i4>0</vt:i4>
      </vt:variant>
      <vt:variant>
        <vt:i4>5</vt:i4>
      </vt:variant>
      <vt:variant>
        <vt:lpwstr/>
      </vt:variant>
      <vt:variant>
        <vt:lpwstr>_Toc129176533</vt:lpwstr>
      </vt:variant>
      <vt:variant>
        <vt:i4>1114170</vt:i4>
      </vt:variant>
      <vt:variant>
        <vt:i4>944</vt:i4>
      </vt:variant>
      <vt:variant>
        <vt:i4>0</vt:i4>
      </vt:variant>
      <vt:variant>
        <vt:i4>5</vt:i4>
      </vt:variant>
      <vt:variant>
        <vt:lpwstr/>
      </vt:variant>
      <vt:variant>
        <vt:lpwstr>_Toc129176532</vt:lpwstr>
      </vt:variant>
      <vt:variant>
        <vt:i4>1114170</vt:i4>
      </vt:variant>
      <vt:variant>
        <vt:i4>938</vt:i4>
      </vt:variant>
      <vt:variant>
        <vt:i4>0</vt:i4>
      </vt:variant>
      <vt:variant>
        <vt:i4>5</vt:i4>
      </vt:variant>
      <vt:variant>
        <vt:lpwstr/>
      </vt:variant>
      <vt:variant>
        <vt:lpwstr>_Toc129176531</vt:lpwstr>
      </vt:variant>
      <vt:variant>
        <vt:i4>1114170</vt:i4>
      </vt:variant>
      <vt:variant>
        <vt:i4>932</vt:i4>
      </vt:variant>
      <vt:variant>
        <vt:i4>0</vt:i4>
      </vt:variant>
      <vt:variant>
        <vt:i4>5</vt:i4>
      </vt:variant>
      <vt:variant>
        <vt:lpwstr/>
      </vt:variant>
      <vt:variant>
        <vt:lpwstr>_Toc129176530</vt:lpwstr>
      </vt:variant>
      <vt:variant>
        <vt:i4>1048634</vt:i4>
      </vt:variant>
      <vt:variant>
        <vt:i4>926</vt:i4>
      </vt:variant>
      <vt:variant>
        <vt:i4>0</vt:i4>
      </vt:variant>
      <vt:variant>
        <vt:i4>5</vt:i4>
      </vt:variant>
      <vt:variant>
        <vt:lpwstr/>
      </vt:variant>
      <vt:variant>
        <vt:lpwstr>_Toc129176529</vt:lpwstr>
      </vt:variant>
      <vt:variant>
        <vt:i4>1048634</vt:i4>
      </vt:variant>
      <vt:variant>
        <vt:i4>920</vt:i4>
      </vt:variant>
      <vt:variant>
        <vt:i4>0</vt:i4>
      </vt:variant>
      <vt:variant>
        <vt:i4>5</vt:i4>
      </vt:variant>
      <vt:variant>
        <vt:lpwstr/>
      </vt:variant>
      <vt:variant>
        <vt:lpwstr>_Toc129176528</vt:lpwstr>
      </vt:variant>
      <vt:variant>
        <vt:i4>1048634</vt:i4>
      </vt:variant>
      <vt:variant>
        <vt:i4>914</vt:i4>
      </vt:variant>
      <vt:variant>
        <vt:i4>0</vt:i4>
      </vt:variant>
      <vt:variant>
        <vt:i4>5</vt:i4>
      </vt:variant>
      <vt:variant>
        <vt:lpwstr/>
      </vt:variant>
      <vt:variant>
        <vt:lpwstr>_Toc129176527</vt:lpwstr>
      </vt:variant>
      <vt:variant>
        <vt:i4>1048634</vt:i4>
      </vt:variant>
      <vt:variant>
        <vt:i4>908</vt:i4>
      </vt:variant>
      <vt:variant>
        <vt:i4>0</vt:i4>
      </vt:variant>
      <vt:variant>
        <vt:i4>5</vt:i4>
      </vt:variant>
      <vt:variant>
        <vt:lpwstr/>
      </vt:variant>
      <vt:variant>
        <vt:lpwstr>_Toc129176526</vt:lpwstr>
      </vt:variant>
      <vt:variant>
        <vt:i4>1048634</vt:i4>
      </vt:variant>
      <vt:variant>
        <vt:i4>902</vt:i4>
      </vt:variant>
      <vt:variant>
        <vt:i4>0</vt:i4>
      </vt:variant>
      <vt:variant>
        <vt:i4>5</vt:i4>
      </vt:variant>
      <vt:variant>
        <vt:lpwstr/>
      </vt:variant>
      <vt:variant>
        <vt:lpwstr>_Toc129176525</vt:lpwstr>
      </vt:variant>
      <vt:variant>
        <vt:i4>1048634</vt:i4>
      </vt:variant>
      <vt:variant>
        <vt:i4>896</vt:i4>
      </vt:variant>
      <vt:variant>
        <vt:i4>0</vt:i4>
      </vt:variant>
      <vt:variant>
        <vt:i4>5</vt:i4>
      </vt:variant>
      <vt:variant>
        <vt:lpwstr/>
      </vt:variant>
      <vt:variant>
        <vt:lpwstr>_Toc129176524</vt:lpwstr>
      </vt:variant>
      <vt:variant>
        <vt:i4>1048634</vt:i4>
      </vt:variant>
      <vt:variant>
        <vt:i4>890</vt:i4>
      </vt:variant>
      <vt:variant>
        <vt:i4>0</vt:i4>
      </vt:variant>
      <vt:variant>
        <vt:i4>5</vt:i4>
      </vt:variant>
      <vt:variant>
        <vt:lpwstr/>
      </vt:variant>
      <vt:variant>
        <vt:lpwstr>_Toc129176523</vt:lpwstr>
      </vt:variant>
      <vt:variant>
        <vt:i4>1048634</vt:i4>
      </vt:variant>
      <vt:variant>
        <vt:i4>884</vt:i4>
      </vt:variant>
      <vt:variant>
        <vt:i4>0</vt:i4>
      </vt:variant>
      <vt:variant>
        <vt:i4>5</vt:i4>
      </vt:variant>
      <vt:variant>
        <vt:lpwstr/>
      </vt:variant>
      <vt:variant>
        <vt:lpwstr>_Toc129176522</vt:lpwstr>
      </vt:variant>
      <vt:variant>
        <vt:i4>1048634</vt:i4>
      </vt:variant>
      <vt:variant>
        <vt:i4>878</vt:i4>
      </vt:variant>
      <vt:variant>
        <vt:i4>0</vt:i4>
      </vt:variant>
      <vt:variant>
        <vt:i4>5</vt:i4>
      </vt:variant>
      <vt:variant>
        <vt:lpwstr/>
      </vt:variant>
      <vt:variant>
        <vt:lpwstr>_Toc129176521</vt:lpwstr>
      </vt:variant>
      <vt:variant>
        <vt:i4>1048634</vt:i4>
      </vt:variant>
      <vt:variant>
        <vt:i4>872</vt:i4>
      </vt:variant>
      <vt:variant>
        <vt:i4>0</vt:i4>
      </vt:variant>
      <vt:variant>
        <vt:i4>5</vt:i4>
      </vt:variant>
      <vt:variant>
        <vt:lpwstr/>
      </vt:variant>
      <vt:variant>
        <vt:lpwstr>_Toc129176520</vt:lpwstr>
      </vt:variant>
      <vt:variant>
        <vt:i4>1245242</vt:i4>
      </vt:variant>
      <vt:variant>
        <vt:i4>866</vt:i4>
      </vt:variant>
      <vt:variant>
        <vt:i4>0</vt:i4>
      </vt:variant>
      <vt:variant>
        <vt:i4>5</vt:i4>
      </vt:variant>
      <vt:variant>
        <vt:lpwstr/>
      </vt:variant>
      <vt:variant>
        <vt:lpwstr>_Toc129176519</vt:lpwstr>
      </vt:variant>
      <vt:variant>
        <vt:i4>1245242</vt:i4>
      </vt:variant>
      <vt:variant>
        <vt:i4>860</vt:i4>
      </vt:variant>
      <vt:variant>
        <vt:i4>0</vt:i4>
      </vt:variant>
      <vt:variant>
        <vt:i4>5</vt:i4>
      </vt:variant>
      <vt:variant>
        <vt:lpwstr/>
      </vt:variant>
      <vt:variant>
        <vt:lpwstr>_Toc129176518</vt:lpwstr>
      </vt:variant>
      <vt:variant>
        <vt:i4>1245242</vt:i4>
      </vt:variant>
      <vt:variant>
        <vt:i4>854</vt:i4>
      </vt:variant>
      <vt:variant>
        <vt:i4>0</vt:i4>
      </vt:variant>
      <vt:variant>
        <vt:i4>5</vt:i4>
      </vt:variant>
      <vt:variant>
        <vt:lpwstr/>
      </vt:variant>
      <vt:variant>
        <vt:lpwstr>_Toc129176517</vt:lpwstr>
      </vt:variant>
      <vt:variant>
        <vt:i4>1245242</vt:i4>
      </vt:variant>
      <vt:variant>
        <vt:i4>848</vt:i4>
      </vt:variant>
      <vt:variant>
        <vt:i4>0</vt:i4>
      </vt:variant>
      <vt:variant>
        <vt:i4>5</vt:i4>
      </vt:variant>
      <vt:variant>
        <vt:lpwstr/>
      </vt:variant>
      <vt:variant>
        <vt:lpwstr>_Toc129176516</vt:lpwstr>
      </vt:variant>
      <vt:variant>
        <vt:i4>1245242</vt:i4>
      </vt:variant>
      <vt:variant>
        <vt:i4>842</vt:i4>
      </vt:variant>
      <vt:variant>
        <vt:i4>0</vt:i4>
      </vt:variant>
      <vt:variant>
        <vt:i4>5</vt:i4>
      </vt:variant>
      <vt:variant>
        <vt:lpwstr/>
      </vt:variant>
      <vt:variant>
        <vt:lpwstr>_Toc129176515</vt:lpwstr>
      </vt:variant>
      <vt:variant>
        <vt:i4>1245242</vt:i4>
      </vt:variant>
      <vt:variant>
        <vt:i4>836</vt:i4>
      </vt:variant>
      <vt:variant>
        <vt:i4>0</vt:i4>
      </vt:variant>
      <vt:variant>
        <vt:i4>5</vt:i4>
      </vt:variant>
      <vt:variant>
        <vt:lpwstr/>
      </vt:variant>
      <vt:variant>
        <vt:lpwstr>_Toc129176514</vt:lpwstr>
      </vt:variant>
      <vt:variant>
        <vt:i4>1245242</vt:i4>
      </vt:variant>
      <vt:variant>
        <vt:i4>830</vt:i4>
      </vt:variant>
      <vt:variant>
        <vt:i4>0</vt:i4>
      </vt:variant>
      <vt:variant>
        <vt:i4>5</vt:i4>
      </vt:variant>
      <vt:variant>
        <vt:lpwstr/>
      </vt:variant>
      <vt:variant>
        <vt:lpwstr>_Toc129176513</vt:lpwstr>
      </vt:variant>
      <vt:variant>
        <vt:i4>1245242</vt:i4>
      </vt:variant>
      <vt:variant>
        <vt:i4>824</vt:i4>
      </vt:variant>
      <vt:variant>
        <vt:i4>0</vt:i4>
      </vt:variant>
      <vt:variant>
        <vt:i4>5</vt:i4>
      </vt:variant>
      <vt:variant>
        <vt:lpwstr/>
      </vt:variant>
      <vt:variant>
        <vt:lpwstr>_Toc129176512</vt:lpwstr>
      </vt:variant>
      <vt:variant>
        <vt:i4>1245242</vt:i4>
      </vt:variant>
      <vt:variant>
        <vt:i4>818</vt:i4>
      </vt:variant>
      <vt:variant>
        <vt:i4>0</vt:i4>
      </vt:variant>
      <vt:variant>
        <vt:i4>5</vt:i4>
      </vt:variant>
      <vt:variant>
        <vt:lpwstr/>
      </vt:variant>
      <vt:variant>
        <vt:lpwstr>_Toc129176511</vt:lpwstr>
      </vt:variant>
      <vt:variant>
        <vt:i4>1245242</vt:i4>
      </vt:variant>
      <vt:variant>
        <vt:i4>812</vt:i4>
      </vt:variant>
      <vt:variant>
        <vt:i4>0</vt:i4>
      </vt:variant>
      <vt:variant>
        <vt:i4>5</vt:i4>
      </vt:variant>
      <vt:variant>
        <vt:lpwstr/>
      </vt:variant>
      <vt:variant>
        <vt:lpwstr>_Toc129176510</vt:lpwstr>
      </vt:variant>
      <vt:variant>
        <vt:i4>1179706</vt:i4>
      </vt:variant>
      <vt:variant>
        <vt:i4>806</vt:i4>
      </vt:variant>
      <vt:variant>
        <vt:i4>0</vt:i4>
      </vt:variant>
      <vt:variant>
        <vt:i4>5</vt:i4>
      </vt:variant>
      <vt:variant>
        <vt:lpwstr/>
      </vt:variant>
      <vt:variant>
        <vt:lpwstr>_Toc129176509</vt:lpwstr>
      </vt:variant>
      <vt:variant>
        <vt:i4>1179706</vt:i4>
      </vt:variant>
      <vt:variant>
        <vt:i4>800</vt:i4>
      </vt:variant>
      <vt:variant>
        <vt:i4>0</vt:i4>
      </vt:variant>
      <vt:variant>
        <vt:i4>5</vt:i4>
      </vt:variant>
      <vt:variant>
        <vt:lpwstr/>
      </vt:variant>
      <vt:variant>
        <vt:lpwstr>_Toc129176508</vt:lpwstr>
      </vt:variant>
      <vt:variant>
        <vt:i4>1179706</vt:i4>
      </vt:variant>
      <vt:variant>
        <vt:i4>794</vt:i4>
      </vt:variant>
      <vt:variant>
        <vt:i4>0</vt:i4>
      </vt:variant>
      <vt:variant>
        <vt:i4>5</vt:i4>
      </vt:variant>
      <vt:variant>
        <vt:lpwstr/>
      </vt:variant>
      <vt:variant>
        <vt:lpwstr>_Toc129176507</vt:lpwstr>
      </vt:variant>
      <vt:variant>
        <vt:i4>1179706</vt:i4>
      </vt:variant>
      <vt:variant>
        <vt:i4>788</vt:i4>
      </vt:variant>
      <vt:variant>
        <vt:i4>0</vt:i4>
      </vt:variant>
      <vt:variant>
        <vt:i4>5</vt:i4>
      </vt:variant>
      <vt:variant>
        <vt:lpwstr/>
      </vt:variant>
      <vt:variant>
        <vt:lpwstr>_Toc129176506</vt:lpwstr>
      </vt:variant>
      <vt:variant>
        <vt:i4>1179706</vt:i4>
      </vt:variant>
      <vt:variant>
        <vt:i4>782</vt:i4>
      </vt:variant>
      <vt:variant>
        <vt:i4>0</vt:i4>
      </vt:variant>
      <vt:variant>
        <vt:i4>5</vt:i4>
      </vt:variant>
      <vt:variant>
        <vt:lpwstr/>
      </vt:variant>
      <vt:variant>
        <vt:lpwstr>_Toc129176505</vt:lpwstr>
      </vt:variant>
      <vt:variant>
        <vt:i4>1179706</vt:i4>
      </vt:variant>
      <vt:variant>
        <vt:i4>776</vt:i4>
      </vt:variant>
      <vt:variant>
        <vt:i4>0</vt:i4>
      </vt:variant>
      <vt:variant>
        <vt:i4>5</vt:i4>
      </vt:variant>
      <vt:variant>
        <vt:lpwstr/>
      </vt:variant>
      <vt:variant>
        <vt:lpwstr>_Toc129176504</vt:lpwstr>
      </vt:variant>
      <vt:variant>
        <vt:i4>1179706</vt:i4>
      </vt:variant>
      <vt:variant>
        <vt:i4>770</vt:i4>
      </vt:variant>
      <vt:variant>
        <vt:i4>0</vt:i4>
      </vt:variant>
      <vt:variant>
        <vt:i4>5</vt:i4>
      </vt:variant>
      <vt:variant>
        <vt:lpwstr/>
      </vt:variant>
      <vt:variant>
        <vt:lpwstr>_Toc129176503</vt:lpwstr>
      </vt:variant>
      <vt:variant>
        <vt:i4>1179706</vt:i4>
      </vt:variant>
      <vt:variant>
        <vt:i4>764</vt:i4>
      </vt:variant>
      <vt:variant>
        <vt:i4>0</vt:i4>
      </vt:variant>
      <vt:variant>
        <vt:i4>5</vt:i4>
      </vt:variant>
      <vt:variant>
        <vt:lpwstr/>
      </vt:variant>
      <vt:variant>
        <vt:lpwstr>_Toc129176502</vt:lpwstr>
      </vt:variant>
      <vt:variant>
        <vt:i4>1179706</vt:i4>
      </vt:variant>
      <vt:variant>
        <vt:i4>758</vt:i4>
      </vt:variant>
      <vt:variant>
        <vt:i4>0</vt:i4>
      </vt:variant>
      <vt:variant>
        <vt:i4>5</vt:i4>
      </vt:variant>
      <vt:variant>
        <vt:lpwstr/>
      </vt:variant>
      <vt:variant>
        <vt:lpwstr>_Toc129176501</vt:lpwstr>
      </vt:variant>
      <vt:variant>
        <vt:i4>1179706</vt:i4>
      </vt:variant>
      <vt:variant>
        <vt:i4>752</vt:i4>
      </vt:variant>
      <vt:variant>
        <vt:i4>0</vt:i4>
      </vt:variant>
      <vt:variant>
        <vt:i4>5</vt:i4>
      </vt:variant>
      <vt:variant>
        <vt:lpwstr/>
      </vt:variant>
      <vt:variant>
        <vt:lpwstr>_Toc129176500</vt:lpwstr>
      </vt:variant>
      <vt:variant>
        <vt:i4>1769531</vt:i4>
      </vt:variant>
      <vt:variant>
        <vt:i4>746</vt:i4>
      </vt:variant>
      <vt:variant>
        <vt:i4>0</vt:i4>
      </vt:variant>
      <vt:variant>
        <vt:i4>5</vt:i4>
      </vt:variant>
      <vt:variant>
        <vt:lpwstr/>
      </vt:variant>
      <vt:variant>
        <vt:lpwstr>_Toc129176499</vt:lpwstr>
      </vt:variant>
      <vt:variant>
        <vt:i4>1769531</vt:i4>
      </vt:variant>
      <vt:variant>
        <vt:i4>740</vt:i4>
      </vt:variant>
      <vt:variant>
        <vt:i4>0</vt:i4>
      </vt:variant>
      <vt:variant>
        <vt:i4>5</vt:i4>
      </vt:variant>
      <vt:variant>
        <vt:lpwstr/>
      </vt:variant>
      <vt:variant>
        <vt:lpwstr>_Toc129176498</vt:lpwstr>
      </vt:variant>
      <vt:variant>
        <vt:i4>1769531</vt:i4>
      </vt:variant>
      <vt:variant>
        <vt:i4>734</vt:i4>
      </vt:variant>
      <vt:variant>
        <vt:i4>0</vt:i4>
      </vt:variant>
      <vt:variant>
        <vt:i4>5</vt:i4>
      </vt:variant>
      <vt:variant>
        <vt:lpwstr/>
      </vt:variant>
      <vt:variant>
        <vt:lpwstr>_Toc129176497</vt:lpwstr>
      </vt:variant>
      <vt:variant>
        <vt:i4>1769531</vt:i4>
      </vt:variant>
      <vt:variant>
        <vt:i4>728</vt:i4>
      </vt:variant>
      <vt:variant>
        <vt:i4>0</vt:i4>
      </vt:variant>
      <vt:variant>
        <vt:i4>5</vt:i4>
      </vt:variant>
      <vt:variant>
        <vt:lpwstr/>
      </vt:variant>
      <vt:variant>
        <vt:lpwstr>_Toc129176496</vt:lpwstr>
      </vt:variant>
      <vt:variant>
        <vt:i4>1769531</vt:i4>
      </vt:variant>
      <vt:variant>
        <vt:i4>722</vt:i4>
      </vt:variant>
      <vt:variant>
        <vt:i4>0</vt:i4>
      </vt:variant>
      <vt:variant>
        <vt:i4>5</vt:i4>
      </vt:variant>
      <vt:variant>
        <vt:lpwstr/>
      </vt:variant>
      <vt:variant>
        <vt:lpwstr>_Toc129176495</vt:lpwstr>
      </vt:variant>
      <vt:variant>
        <vt:i4>1769531</vt:i4>
      </vt:variant>
      <vt:variant>
        <vt:i4>716</vt:i4>
      </vt:variant>
      <vt:variant>
        <vt:i4>0</vt:i4>
      </vt:variant>
      <vt:variant>
        <vt:i4>5</vt:i4>
      </vt:variant>
      <vt:variant>
        <vt:lpwstr/>
      </vt:variant>
      <vt:variant>
        <vt:lpwstr>_Toc129176494</vt:lpwstr>
      </vt:variant>
      <vt:variant>
        <vt:i4>1769531</vt:i4>
      </vt:variant>
      <vt:variant>
        <vt:i4>710</vt:i4>
      </vt:variant>
      <vt:variant>
        <vt:i4>0</vt:i4>
      </vt:variant>
      <vt:variant>
        <vt:i4>5</vt:i4>
      </vt:variant>
      <vt:variant>
        <vt:lpwstr/>
      </vt:variant>
      <vt:variant>
        <vt:lpwstr>_Toc129176493</vt:lpwstr>
      </vt:variant>
      <vt:variant>
        <vt:i4>1769531</vt:i4>
      </vt:variant>
      <vt:variant>
        <vt:i4>704</vt:i4>
      </vt:variant>
      <vt:variant>
        <vt:i4>0</vt:i4>
      </vt:variant>
      <vt:variant>
        <vt:i4>5</vt:i4>
      </vt:variant>
      <vt:variant>
        <vt:lpwstr/>
      </vt:variant>
      <vt:variant>
        <vt:lpwstr>_Toc129176492</vt:lpwstr>
      </vt:variant>
      <vt:variant>
        <vt:i4>1769531</vt:i4>
      </vt:variant>
      <vt:variant>
        <vt:i4>698</vt:i4>
      </vt:variant>
      <vt:variant>
        <vt:i4>0</vt:i4>
      </vt:variant>
      <vt:variant>
        <vt:i4>5</vt:i4>
      </vt:variant>
      <vt:variant>
        <vt:lpwstr/>
      </vt:variant>
      <vt:variant>
        <vt:lpwstr>_Toc129176491</vt:lpwstr>
      </vt:variant>
      <vt:variant>
        <vt:i4>1769531</vt:i4>
      </vt:variant>
      <vt:variant>
        <vt:i4>692</vt:i4>
      </vt:variant>
      <vt:variant>
        <vt:i4>0</vt:i4>
      </vt:variant>
      <vt:variant>
        <vt:i4>5</vt:i4>
      </vt:variant>
      <vt:variant>
        <vt:lpwstr/>
      </vt:variant>
      <vt:variant>
        <vt:lpwstr>_Toc129176490</vt:lpwstr>
      </vt:variant>
      <vt:variant>
        <vt:i4>1703995</vt:i4>
      </vt:variant>
      <vt:variant>
        <vt:i4>686</vt:i4>
      </vt:variant>
      <vt:variant>
        <vt:i4>0</vt:i4>
      </vt:variant>
      <vt:variant>
        <vt:i4>5</vt:i4>
      </vt:variant>
      <vt:variant>
        <vt:lpwstr/>
      </vt:variant>
      <vt:variant>
        <vt:lpwstr>_Toc129176489</vt:lpwstr>
      </vt:variant>
      <vt:variant>
        <vt:i4>1703995</vt:i4>
      </vt:variant>
      <vt:variant>
        <vt:i4>680</vt:i4>
      </vt:variant>
      <vt:variant>
        <vt:i4>0</vt:i4>
      </vt:variant>
      <vt:variant>
        <vt:i4>5</vt:i4>
      </vt:variant>
      <vt:variant>
        <vt:lpwstr/>
      </vt:variant>
      <vt:variant>
        <vt:lpwstr>_Toc129176488</vt:lpwstr>
      </vt:variant>
      <vt:variant>
        <vt:i4>1703995</vt:i4>
      </vt:variant>
      <vt:variant>
        <vt:i4>674</vt:i4>
      </vt:variant>
      <vt:variant>
        <vt:i4>0</vt:i4>
      </vt:variant>
      <vt:variant>
        <vt:i4>5</vt:i4>
      </vt:variant>
      <vt:variant>
        <vt:lpwstr/>
      </vt:variant>
      <vt:variant>
        <vt:lpwstr>_Toc129176487</vt:lpwstr>
      </vt:variant>
      <vt:variant>
        <vt:i4>1703995</vt:i4>
      </vt:variant>
      <vt:variant>
        <vt:i4>668</vt:i4>
      </vt:variant>
      <vt:variant>
        <vt:i4>0</vt:i4>
      </vt:variant>
      <vt:variant>
        <vt:i4>5</vt:i4>
      </vt:variant>
      <vt:variant>
        <vt:lpwstr/>
      </vt:variant>
      <vt:variant>
        <vt:lpwstr>_Toc129176486</vt:lpwstr>
      </vt:variant>
      <vt:variant>
        <vt:i4>1703995</vt:i4>
      </vt:variant>
      <vt:variant>
        <vt:i4>662</vt:i4>
      </vt:variant>
      <vt:variant>
        <vt:i4>0</vt:i4>
      </vt:variant>
      <vt:variant>
        <vt:i4>5</vt:i4>
      </vt:variant>
      <vt:variant>
        <vt:lpwstr/>
      </vt:variant>
      <vt:variant>
        <vt:lpwstr>_Toc129176485</vt:lpwstr>
      </vt:variant>
      <vt:variant>
        <vt:i4>1703995</vt:i4>
      </vt:variant>
      <vt:variant>
        <vt:i4>656</vt:i4>
      </vt:variant>
      <vt:variant>
        <vt:i4>0</vt:i4>
      </vt:variant>
      <vt:variant>
        <vt:i4>5</vt:i4>
      </vt:variant>
      <vt:variant>
        <vt:lpwstr/>
      </vt:variant>
      <vt:variant>
        <vt:lpwstr>_Toc129176484</vt:lpwstr>
      </vt:variant>
      <vt:variant>
        <vt:i4>1703995</vt:i4>
      </vt:variant>
      <vt:variant>
        <vt:i4>650</vt:i4>
      </vt:variant>
      <vt:variant>
        <vt:i4>0</vt:i4>
      </vt:variant>
      <vt:variant>
        <vt:i4>5</vt:i4>
      </vt:variant>
      <vt:variant>
        <vt:lpwstr/>
      </vt:variant>
      <vt:variant>
        <vt:lpwstr>_Toc129176483</vt:lpwstr>
      </vt:variant>
      <vt:variant>
        <vt:i4>1703995</vt:i4>
      </vt:variant>
      <vt:variant>
        <vt:i4>644</vt:i4>
      </vt:variant>
      <vt:variant>
        <vt:i4>0</vt:i4>
      </vt:variant>
      <vt:variant>
        <vt:i4>5</vt:i4>
      </vt:variant>
      <vt:variant>
        <vt:lpwstr/>
      </vt:variant>
      <vt:variant>
        <vt:lpwstr>_Toc129176482</vt:lpwstr>
      </vt:variant>
      <vt:variant>
        <vt:i4>1703995</vt:i4>
      </vt:variant>
      <vt:variant>
        <vt:i4>638</vt:i4>
      </vt:variant>
      <vt:variant>
        <vt:i4>0</vt:i4>
      </vt:variant>
      <vt:variant>
        <vt:i4>5</vt:i4>
      </vt:variant>
      <vt:variant>
        <vt:lpwstr/>
      </vt:variant>
      <vt:variant>
        <vt:lpwstr>_Toc129176481</vt:lpwstr>
      </vt:variant>
      <vt:variant>
        <vt:i4>1703995</vt:i4>
      </vt:variant>
      <vt:variant>
        <vt:i4>632</vt:i4>
      </vt:variant>
      <vt:variant>
        <vt:i4>0</vt:i4>
      </vt:variant>
      <vt:variant>
        <vt:i4>5</vt:i4>
      </vt:variant>
      <vt:variant>
        <vt:lpwstr/>
      </vt:variant>
      <vt:variant>
        <vt:lpwstr>_Toc129176480</vt:lpwstr>
      </vt:variant>
      <vt:variant>
        <vt:i4>1376315</vt:i4>
      </vt:variant>
      <vt:variant>
        <vt:i4>626</vt:i4>
      </vt:variant>
      <vt:variant>
        <vt:i4>0</vt:i4>
      </vt:variant>
      <vt:variant>
        <vt:i4>5</vt:i4>
      </vt:variant>
      <vt:variant>
        <vt:lpwstr/>
      </vt:variant>
      <vt:variant>
        <vt:lpwstr>_Toc129176479</vt:lpwstr>
      </vt:variant>
      <vt:variant>
        <vt:i4>1376315</vt:i4>
      </vt:variant>
      <vt:variant>
        <vt:i4>620</vt:i4>
      </vt:variant>
      <vt:variant>
        <vt:i4>0</vt:i4>
      </vt:variant>
      <vt:variant>
        <vt:i4>5</vt:i4>
      </vt:variant>
      <vt:variant>
        <vt:lpwstr/>
      </vt:variant>
      <vt:variant>
        <vt:lpwstr>_Toc129176478</vt:lpwstr>
      </vt:variant>
      <vt:variant>
        <vt:i4>1376315</vt:i4>
      </vt:variant>
      <vt:variant>
        <vt:i4>614</vt:i4>
      </vt:variant>
      <vt:variant>
        <vt:i4>0</vt:i4>
      </vt:variant>
      <vt:variant>
        <vt:i4>5</vt:i4>
      </vt:variant>
      <vt:variant>
        <vt:lpwstr/>
      </vt:variant>
      <vt:variant>
        <vt:lpwstr>_Toc129176477</vt:lpwstr>
      </vt:variant>
      <vt:variant>
        <vt:i4>1376315</vt:i4>
      </vt:variant>
      <vt:variant>
        <vt:i4>608</vt:i4>
      </vt:variant>
      <vt:variant>
        <vt:i4>0</vt:i4>
      </vt:variant>
      <vt:variant>
        <vt:i4>5</vt:i4>
      </vt:variant>
      <vt:variant>
        <vt:lpwstr/>
      </vt:variant>
      <vt:variant>
        <vt:lpwstr>_Toc129176476</vt:lpwstr>
      </vt:variant>
      <vt:variant>
        <vt:i4>1376315</vt:i4>
      </vt:variant>
      <vt:variant>
        <vt:i4>602</vt:i4>
      </vt:variant>
      <vt:variant>
        <vt:i4>0</vt:i4>
      </vt:variant>
      <vt:variant>
        <vt:i4>5</vt:i4>
      </vt:variant>
      <vt:variant>
        <vt:lpwstr/>
      </vt:variant>
      <vt:variant>
        <vt:lpwstr>_Toc129176475</vt:lpwstr>
      </vt:variant>
      <vt:variant>
        <vt:i4>1376315</vt:i4>
      </vt:variant>
      <vt:variant>
        <vt:i4>596</vt:i4>
      </vt:variant>
      <vt:variant>
        <vt:i4>0</vt:i4>
      </vt:variant>
      <vt:variant>
        <vt:i4>5</vt:i4>
      </vt:variant>
      <vt:variant>
        <vt:lpwstr/>
      </vt:variant>
      <vt:variant>
        <vt:lpwstr>_Toc129176474</vt:lpwstr>
      </vt:variant>
      <vt:variant>
        <vt:i4>1376315</vt:i4>
      </vt:variant>
      <vt:variant>
        <vt:i4>590</vt:i4>
      </vt:variant>
      <vt:variant>
        <vt:i4>0</vt:i4>
      </vt:variant>
      <vt:variant>
        <vt:i4>5</vt:i4>
      </vt:variant>
      <vt:variant>
        <vt:lpwstr/>
      </vt:variant>
      <vt:variant>
        <vt:lpwstr>_Toc129176473</vt:lpwstr>
      </vt:variant>
      <vt:variant>
        <vt:i4>1376315</vt:i4>
      </vt:variant>
      <vt:variant>
        <vt:i4>584</vt:i4>
      </vt:variant>
      <vt:variant>
        <vt:i4>0</vt:i4>
      </vt:variant>
      <vt:variant>
        <vt:i4>5</vt:i4>
      </vt:variant>
      <vt:variant>
        <vt:lpwstr/>
      </vt:variant>
      <vt:variant>
        <vt:lpwstr>_Toc129176472</vt:lpwstr>
      </vt:variant>
      <vt:variant>
        <vt:i4>1376315</vt:i4>
      </vt:variant>
      <vt:variant>
        <vt:i4>578</vt:i4>
      </vt:variant>
      <vt:variant>
        <vt:i4>0</vt:i4>
      </vt:variant>
      <vt:variant>
        <vt:i4>5</vt:i4>
      </vt:variant>
      <vt:variant>
        <vt:lpwstr/>
      </vt:variant>
      <vt:variant>
        <vt:lpwstr>_Toc129176471</vt:lpwstr>
      </vt:variant>
      <vt:variant>
        <vt:i4>1376315</vt:i4>
      </vt:variant>
      <vt:variant>
        <vt:i4>572</vt:i4>
      </vt:variant>
      <vt:variant>
        <vt:i4>0</vt:i4>
      </vt:variant>
      <vt:variant>
        <vt:i4>5</vt:i4>
      </vt:variant>
      <vt:variant>
        <vt:lpwstr/>
      </vt:variant>
      <vt:variant>
        <vt:lpwstr>_Toc129176470</vt:lpwstr>
      </vt:variant>
      <vt:variant>
        <vt:i4>1310779</vt:i4>
      </vt:variant>
      <vt:variant>
        <vt:i4>566</vt:i4>
      </vt:variant>
      <vt:variant>
        <vt:i4>0</vt:i4>
      </vt:variant>
      <vt:variant>
        <vt:i4>5</vt:i4>
      </vt:variant>
      <vt:variant>
        <vt:lpwstr/>
      </vt:variant>
      <vt:variant>
        <vt:lpwstr>_Toc129176469</vt:lpwstr>
      </vt:variant>
      <vt:variant>
        <vt:i4>1310779</vt:i4>
      </vt:variant>
      <vt:variant>
        <vt:i4>560</vt:i4>
      </vt:variant>
      <vt:variant>
        <vt:i4>0</vt:i4>
      </vt:variant>
      <vt:variant>
        <vt:i4>5</vt:i4>
      </vt:variant>
      <vt:variant>
        <vt:lpwstr/>
      </vt:variant>
      <vt:variant>
        <vt:lpwstr>_Toc129176468</vt:lpwstr>
      </vt:variant>
      <vt:variant>
        <vt:i4>1310779</vt:i4>
      </vt:variant>
      <vt:variant>
        <vt:i4>554</vt:i4>
      </vt:variant>
      <vt:variant>
        <vt:i4>0</vt:i4>
      </vt:variant>
      <vt:variant>
        <vt:i4>5</vt:i4>
      </vt:variant>
      <vt:variant>
        <vt:lpwstr/>
      </vt:variant>
      <vt:variant>
        <vt:lpwstr>_Toc129176467</vt:lpwstr>
      </vt:variant>
      <vt:variant>
        <vt:i4>1310779</vt:i4>
      </vt:variant>
      <vt:variant>
        <vt:i4>548</vt:i4>
      </vt:variant>
      <vt:variant>
        <vt:i4>0</vt:i4>
      </vt:variant>
      <vt:variant>
        <vt:i4>5</vt:i4>
      </vt:variant>
      <vt:variant>
        <vt:lpwstr/>
      </vt:variant>
      <vt:variant>
        <vt:lpwstr>_Toc129176466</vt:lpwstr>
      </vt:variant>
      <vt:variant>
        <vt:i4>1310779</vt:i4>
      </vt:variant>
      <vt:variant>
        <vt:i4>542</vt:i4>
      </vt:variant>
      <vt:variant>
        <vt:i4>0</vt:i4>
      </vt:variant>
      <vt:variant>
        <vt:i4>5</vt:i4>
      </vt:variant>
      <vt:variant>
        <vt:lpwstr/>
      </vt:variant>
      <vt:variant>
        <vt:lpwstr>_Toc129176465</vt:lpwstr>
      </vt:variant>
      <vt:variant>
        <vt:i4>1310779</vt:i4>
      </vt:variant>
      <vt:variant>
        <vt:i4>536</vt:i4>
      </vt:variant>
      <vt:variant>
        <vt:i4>0</vt:i4>
      </vt:variant>
      <vt:variant>
        <vt:i4>5</vt:i4>
      </vt:variant>
      <vt:variant>
        <vt:lpwstr/>
      </vt:variant>
      <vt:variant>
        <vt:lpwstr>_Toc129176464</vt:lpwstr>
      </vt:variant>
      <vt:variant>
        <vt:i4>1310779</vt:i4>
      </vt:variant>
      <vt:variant>
        <vt:i4>530</vt:i4>
      </vt:variant>
      <vt:variant>
        <vt:i4>0</vt:i4>
      </vt:variant>
      <vt:variant>
        <vt:i4>5</vt:i4>
      </vt:variant>
      <vt:variant>
        <vt:lpwstr/>
      </vt:variant>
      <vt:variant>
        <vt:lpwstr>_Toc129176463</vt:lpwstr>
      </vt:variant>
      <vt:variant>
        <vt:i4>1310779</vt:i4>
      </vt:variant>
      <vt:variant>
        <vt:i4>524</vt:i4>
      </vt:variant>
      <vt:variant>
        <vt:i4>0</vt:i4>
      </vt:variant>
      <vt:variant>
        <vt:i4>5</vt:i4>
      </vt:variant>
      <vt:variant>
        <vt:lpwstr/>
      </vt:variant>
      <vt:variant>
        <vt:lpwstr>_Toc129176462</vt:lpwstr>
      </vt:variant>
      <vt:variant>
        <vt:i4>1310779</vt:i4>
      </vt:variant>
      <vt:variant>
        <vt:i4>518</vt:i4>
      </vt:variant>
      <vt:variant>
        <vt:i4>0</vt:i4>
      </vt:variant>
      <vt:variant>
        <vt:i4>5</vt:i4>
      </vt:variant>
      <vt:variant>
        <vt:lpwstr/>
      </vt:variant>
      <vt:variant>
        <vt:lpwstr>_Toc129176461</vt:lpwstr>
      </vt:variant>
      <vt:variant>
        <vt:i4>1310779</vt:i4>
      </vt:variant>
      <vt:variant>
        <vt:i4>512</vt:i4>
      </vt:variant>
      <vt:variant>
        <vt:i4>0</vt:i4>
      </vt:variant>
      <vt:variant>
        <vt:i4>5</vt:i4>
      </vt:variant>
      <vt:variant>
        <vt:lpwstr/>
      </vt:variant>
      <vt:variant>
        <vt:lpwstr>_Toc129176460</vt:lpwstr>
      </vt:variant>
      <vt:variant>
        <vt:i4>1507387</vt:i4>
      </vt:variant>
      <vt:variant>
        <vt:i4>506</vt:i4>
      </vt:variant>
      <vt:variant>
        <vt:i4>0</vt:i4>
      </vt:variant>
      <vt:variant>
        <vt:i4>5</vt:i4>
      </vt:variant>
      <vt:variant>
        <vt:lpwstr/>
      </vt:variant>
      <vt:variant>
        <vt:lpwstr>_Toc129176459</vt:lpwstr>
      </vt:variant>
      <vt:variant>
        <vt:i4>1507387</vt:i4>
      </vt:variant>
      <vt:variant>
        <vt:i4>500</vt:i4>
      </vt:variant>
      <vt:variant>
        <vt:i4>0</vt:i4>
      </vt:variant>
      <vt:variant>
        <vt:i4>5</vt:i4>
      </vt:variant>
      <vt:variant>
        <vt:lpwstr/>
      </vt:variant>
      <vt:variant>
        <vt:lpwstr>_Toc129176458</vt:lpwstr>
      </vt:variant>
      <vt:variant>
        <vt:i4>1507387</vt:i4>
      </vt:variant>
      <vt:variant>
        <vt:i4>494</vt:i4>
      </vt:variant>
      <vt:variant>
        <vt:i4>0</vt:i4>
      </vt:variant>
      <vt:variant>
        <vt:i4>5</vt:i4>
      </vt:variant>
      <vt:variant>
        <vt:lpwstr/>
      </vt:variant>
      <vt:variant>
        <vt:lpwstr>_Toc129176457</vt:lpwstr>
      </vt:variant>
      <vt:variant>
        <vt:i4>1507387</vt:i4>
      </vt:variant>
      <vt:variant>
        <vt:i4>488</vt:i4>
      </vt:variant>
      <vt:variant>
        <vt:i4>0</vt:i4>
      </vt:variant>
      <vt:variant>
        <vt:i4>5</vt:i4>
      </vt:variant>
      <vt:variant>
        <vt:lpwstr/>
      </vt:variant>
      <vt:variant>
        <vt:lpwstr>_Toc129176456</vt:lpwstr>
      </vt:variant>
      <vt:variant>
        <vt:i4>1507387</vt:i4>
      </vt:variant>
      <vt:variant>
        <vt:i4>482</vt:i4>
      </vt:variant>
      <vt:variant>
        <vt:i4>0</vt:i4>
      </vt:variant>
      <vt:variant>
        <vt:i4>5</vt:i4>
      </vt:variant>
      <vt:variant>
        <vt:lpwstr/>
      </vt:variant>
      <vt:variant>
        <vt:lpwstr>_Toc129176455</vt:lpwstr>
      </vt:variant>
      <vt:variant>
        <vt:i4>1507387</vt:i4>
      </vt:variant>
      <vt:variant>
        <vt:i4>476</vt:i4>
      </vt:variant>
      <vt:variant>
        <vt:i4>0</vt:i4>
      </vt:variant>
      <vt:variant>
        <vt:i4>5</vt:i4>
      </vt:variant>
      <vt:variant>
        <vt:lpwstr/>
      </vt:variant>
      <vt:variant>
        <vt:lpwstr>_Toc129176454</vt:lpwstr>
      </vt:variant>
      <vt:variant>
        <vt:i4>1507387</vt:i4>
      </vt:variant>
      <vt:variant>
        <vt:i4>470</vt:i4>
      </vt:variant>
      <vt:variant>
        <vt:i4>0</vt:i4>
      </vt:variant>
      <vt:variant>
        <vt:i4>5</vt:i4>
      </vt:variant>
      <vt:variant>
        <vt:lpwstr/>
      </vt:variant>
      <vt:variant>
        <vt:lpwstr>_Toc129176453</vt:lpwstr>
      </vt:variant>
      <vt:variant>
        <vt:i4>1507387</vt:i4>
      </vt:variant>
      <vt:variant>
        <vt:i4>464</vt:i4>
      </vt:variant>
      <vt:variant>
        <vt:i4>0</vt:i4>
      </vt:variant>
      <vt:variant>
        <vt:i4>5</vt:i4>
      </vt:variant>
      <vt:variant>
        <vt:lpwstr/>
      </vt:variant>
      <vt:variant>
        <vt:lpwstr>_Toc129176452</vt:lpwstr>
      </vt:variant>
      <vt:variant>
        <vt:i4>1507387</vt:i4>
      </vt:variant>
      <vt:variant>
        <vt:i4>458</vt:i4>
      </vt:variant>
      <vt:variant>
        <vt:i4>0</vt:i4>
      </vt:variant>
      <vt:variant>
        <vt:i4>5</vt:i4>
      </vt:variant>
      <vt:variant>
        <vt:lpwstr/>
      </vt:variant>
      <vt:variant>
        <vt:lpwstr>_Toc129176451</vt:lpwstr>
      </vt:variant>
      <vt:variant>
        <vt:i4>1507387</vt:i4>
      </vt:variant>
      <vt:variant>
        <vt:i4>452</vt:i4>
      </vt:variant>
      <vt:variant>
        <vt:i4>0</vt:i4>
      </vt:variant>
      <vt:variant>
        <vt:i4>5</vt:i4>
      </vt:variant>
      <vt:variant>
        <vt:lpwstr/>
      </vt:variant>
      <vt:variant>
        <vt:lpwstr>_Toc129176450</vt:lpwstr>
      </vt:variant>
      <vt:variant>
        <vt:i4>1441851</vt:i4>
      </vt:variant>
      <vt:variant>
        <vt:i4>446</vt:i4>
      </vt:variant>
      <vt:variant>
        <vt:i4>0</vt:i4>
      </vt:variant>
      <vt:variant>
        <vt:i4>5</vt:i4>
      </vt:variant>
      <vt:variant>
        <vt:lpwstr/>
      </vt:variant>
      <vt:variant>
        <vt:lpwstr>_Toc129176449</vt:lpwstr>
      </vt:variant>
      <vt:variant>
        <vt:i4>1441851</vt:i4>
      </vt:variant>
      <vt:variant>
        <vt:i4>440</vt:i4>
      </vt:variant>
      <vt:variant>
        <vt:i4>0</vt:i4>
      </vt:variant>
      <vt:variant>
        <vt:i4>5</vt:i4>
      </vt:variant>
      <vt:variant>
        <vt:lpwstr/>
      </vt:variant>
      <vt:variant>
        <vt:lpwstr>_Toc129176448</vt:lpwstr>
      </vt:variant>
      <vt:variant>
        <vt:i4>1441851</vt:i4>
      </vt:variant>
      <vt:variant>
        <vt:i4>434</vt:i4>
      </vt:variant>
      <vt:variant>
        <vt:i4>0</vt:i4>
      </vt:variant>
      <vt:variant>
        <vt:i4>5</vt:i4>
      </vt:variant>
      <vt:variant>
        <vt:lpwstr/>
      </vt:variant>
      <vt:variant>
        <vt:lpwstr>_Toc129176447</vt:lpwstr>
      </vt:variant>
      <vt:variant>
        <vt:i4>1441851</vt:i4>
      </vt:variant>
      <vt:variant>
        <vt:i4>428</vt:i4>
      </vt:variant>
      <vt:variant>
        <vt:i4>0</vt:i4>
      </vt:variant>
      <vt:variant>
        <vt:i4>5</vt:i4>
      </vt:variant>
      <vt:variant>
        <vt:lpwstr/>
      </vt:variant>
      <vt:variant>
        <vt:lpwstr>_Toc129176446</vt:lpwstr>
      </vt:variant>
      <vt:variant>
        <vt:i4>1441851</vt:i4>
      </vt:variant>
      <vt:variant>
        <vt:i4>422</vt:i4>
      </vt:variant>
      <vt:variant>
        <vt:i4>0</vt:i4>
      </vt:variant>
      <vt:variant>
        <vt:i4>5</vt:i4>
      </vt:variant>
      <vt:variant>
        <vt:lpwstr/>
      </vt:variant>
      <vt:variant>
        <vt:lpwstr>_Toc129176445</vt:lpwstr>
      </vt:variant>
      <vt:variant>
        <vt:i4>1441851</vt:i4>
      </vt:variant>
      <vt:variant>
        <vt:i4>416</vt:i4>
      </vt:variant>
      <vt:variant>
        <vt:i4>0</vt:i4>
      </vt:variant>
      <vt:variant>
        <vt:i4>5</vt:i4>
      </vt:variant>
      <vt:variant>
        <vt:lpwstr/>
      </vt:variant>
      <vt:variant>
        <vt:lpwstr>_Toc129176444</vt:lpwstr>
      </vt:variant>
      <vt:variant>
        <vt:i4>1441851</vt:i4>
      </vt:variant>
      <vt:variant>
        <vt:i4>410</vt:i4>
      </vt:variant>
      <vt:variant>
        <vt:i4>0</vt:i4>
      </vt:variant>
      <vt:variant>
        <vt:i4>5</vt:i4>
      </vt:variant>
      <vt:variant>
        <vt:lpwstr/>
      </vt:variant>
      <vt:variant>
        <vt:lpwstr>_Toc129176443</vt:lpwstr>
      </vt:variant>
      <vt:variant>
        <vt:i4>1441851</vt:i4>
      </vt:variant>
      <vt:variant>
        <vt:i4>404</vt:i4>
      </vt:variant>
      <vt:variant>
        <vt:i4>0</vt:i4>
      </vt:variant>
      <vt:variant>
        <vt:i4>5</vt:i4>
      </vt:variant>
      <vt:variant>
        <vt:lpwstr/>
      </vt:variant>
      <vt:variant>
        <vt:lpwstr>_Toc129176442</vt:lpwstr>
      </vt:variant>
      <vt:variant>
        <vt:i4>1441851</vt:i4>
      </vt:variant>
      <vt:variant>
        <vt:i4>398</vt:i4>
      </vt:variant>
      <vt:variant>
        <vt:i4>0</vt:i4>
      </vt:variant>
      <vt:variant>
        <vt:i4>5</vt:i4>
      </vt:variant>
      <vt:variant>
        <vt:lpwstr/>
      </vt:variant>
      <vt:variant>
        <vt:lpwstr>_Toc129176441</vt:lpwstr>
      </vt:variant>
      <vt:variant>
        <vt:i4>1441851</vt:i4>
      </vt:variant>
      <vt:variant>
        <vt:i4>392</vt:i4>
      </vt:variant>
      <vt:variant>
        <vt:i4>0</vt:i4>
      </vt:variant>
      <vt:variant>
        <vt:i4>5</vt:i4>
      </vt:variant>
      <vt:variant>
        <vt:lpwstr/>
      </vt:variant>
      <vt:variant>
        <vt:lpwstr>_Toc129176440</vt:lpwstr>
      </vt:variant>
      <vt:variant>
        <vt:i4>1114171</vt:i4>
      </vt:variant>
      <vt:variant>
        <vt:i4>386</vt:i4>
      </vt:variant>
      <vt:variant>
        <vt:i4>0</vt:i4>
      </vt:variant>
      <vt:variant>
        <vt:i4>5</vt:i4>
      </vt:variant>
      <vt:variant>
        <vt:lpwstr/>
      </vt:variant>
      <vt:variant>
        <vt:lpwstr>_Toc129176439</vt:lpwstr>
      </vt:variant>
      <vt:variant>
        <vt:i4>1114171</vt:i4>
      </vt:variant>
      <vt:variant>
        <vt:i4>380</vt:i4>
      </vt:variant>
      <vt:variant>
        <vt:i4>0</vt:i4>
      </vt:variant>
      <vt:variant>
        <vt:i4>5</vt:i4>
      </vt:variant>
      <vt:variant>
        <vt:lpwstr/>
      </vt:variant>
      <vt:variant>
        <vt:lpwstr>_Toc129176438</vt:lpwstr>
      </vt:variant>
      <vt:variant>
        <vt:i4>1114171</vt:i4>
      </vt:variant>
      <vt:variant>
        <vt:i4>374</vt:i4>
      </vt:variant>
      <vt:variant>
        <vt:i4>0</vt:i4>
      </vt:variant>
      <vt:variant>
        <vt:i4>5</vt:i4>
      </vt:variant>
      <vt:variant>
        <vt:lpwstr/>
      </vt:variant>
      <vt:variant>
        <vt:lpwstr>_Toc129176437</vt:lpwstr>
      </vt:variant>
      <vt:variant>
        <vt:i4>1114171</vt:i4>
      </vt:variant>
      <vt:variant>
        <vt:i4>368</vt:i4>
      </vt:variant>
      <vt:variant>
        <vt:i4>0</vt:i4>
      </vt:variant>
      <vt:variant>
        <vt:i4>5</vt:i4>
      </vt:variant>
      <vt:variant>
        <vt:lpwstr/>
      </vt:variant>
      <vt:variant>
        <vt:lpwstr>_Toc129176436</vt:lpwstr>
      </vt:variant>
      <vt:variant>
        <vt:i4>1114171</vt:i4>
      </vt:variant>
      <vt:variant>
        <vt:i4>362</vt:i4>
      </vt:variant>
      <vt:variant>
        <vt:i4>0</vt:i4>
      </vt:variant>
      <vt:variant>
        <vt:i4>5</vt:i4>
      </vt:variant>
      <vt:variant>
        <vt:lpwstr/>
      </vt:variant>
      <vt:variant>
        <vt:lpwstr>_Toc129176435</vt:lpwstr>
      </vt:variant>
      <vt:variant>
        <vt:i4>1114171</vt:i4>
      </vt:variant>
      <vt:variant>
        <vt:i4>356</vt:i4>
      </vt:variant>
      <vt:variant>
        <vt:i4>0</vt:i4>
      </vt:variant>
      <vt:variant>
        <vt:i4>5</vt:i4>
      </vt:variant>
      <vt:variant>
        <vt:lpwstr/>
      </vt:variant>
      <vt:variant>
        <vt:lpwstr>_Toc129176434</vt:lpwstr>
      </vt:variant>
      <vt:variant>
        <vt:i4>1114171</vt:i4>
      </vt:variant>
      <vt:variant>
        <vt:i4>350</vt:i4>
      </vt:variant>
      <vt:variant>
        <vt:i4>0</vt:i4>
      </vt:variant>
      <vt:variant>
        <vt:i4>5</vt:i4>
      </vt:variant>
      <vt:variant>
        <vt:lpwstr/>
      </vt:variant>
      <vt:variant>
        <vt:lpwstr>_Toc129176433</vt:lpwstr>
      </vt:variant>
      <vt:variant>
        <vt:i4>1114171</vt:i4>
      </vt:variant>
      <vt:variant>
        <vt:i4>344</vt:i4>
      </vt:variant>
      <vt:variant>
        <vt:i4>0</vt:i4>
      </vt:variant>
      <vt:variant>
        <vt:i4>5</vt:i4>
      </vt:variant>
      <vt:variant>
        <vt:lpwstr/>
      </vt:variant>
      <vt:variant>
        <vt:lpwstr>_Toc129176432</vt:lpwstr>
      </vt:variant>
      <vt:variant>
        <vt:i4>1114171</vt:i4>
      </vt:variant>
      <vt:variant>
        <vt:i4>338</vt:i4>
      </vt:variant>
      <vt:variant>
        <vt:i4>0</vt:i4>
      </vt:variant>
      <vt:variant>
        <vt:i4>5</vt:i4>
      </vt:variant>
      <vt:variant>
        <vt:lpwstr/>
      </vt:variant>
      <vt:variant>
        <vt:lpwstr>_Toc129176431</vt:lpwstr>
      </vt:variant>
      <vt:variant>
        <vt:i4>1114171</vt:i4>
      </vt:variant>
      <vt:variant>
        <vt:i4>332</vt:i4>
      </vt:variant>
      <vt:variant>
        <vt:i4>0</vt:i4>
      </vt:variant>
      <vt:variant>
        <vt:i4>5</vt:i4>
      </vt:variant>
      <vt:variant>
        <vt:lpwstr/>
      </vt:variant>
      <vt:variant>
        <vt:lpwstr>_Toc129176430</vt:lpwstr>
      </vt:variant>
      <vt:variant>
        <vt:i4>1048635</vt:i4>
      </vt:variant>
      <vt:variant>
        <vt:i4>326</vt:i4>
      </vt:variant>
      <vt:variant>
        <vt:i4>0</vt:i4>
      </vt:variant>
      <vt:variant>
        <vt:i4>5</vt:i4>
      </vt:variant>
      <vt:variant>
        <vt:lpwstr/>
      </vt:variant>
      <vt:variant>
        <vt:lpwstr>_Toc129176429</vt:lpwstr>
      </vt:variant>
      <vt:variant>
        <vt:i4>1048635</vt:i4>
      </vt:variant>
      <vt:variant>
        <vt:i4>320</vt:i4>
      </vt:variant>
      <vt:variant>
        <vt:i4>0</vt:i4>
      </vt:variant>
      <vt:variant>
        <vt:i4>5</vt:i4>
      </vt:variant>
      <vt:variant>
        <vt:lpwstr/>
      </vt:variant>
      <vt:variant>
        <vt:lpwstr>_Toc129176428</vt:lpwstr>
      </vt:variant>
      <vt:variant>
        <vt:i4>1048635</vt:i4>
      </vt:variant>
      <vt:variant>
        <vt:i4>314</vt:i4>
      </vt:variant>
      <vt:variant>
        <vt:i4>0</vt:i4>
      </vt:variant>
      <vt:variant>
        <vt:i4>5</vt:i4>
      </vt:variant>
      <vt:variant>
        <vt:lpwstr/>
      </vt:variant>
      <vt:variant>
        <vt:lpwstr>_Toc129176427</vt:lpwstr>
      </vt:variant>
      <vt:variant>
        <vt:i4>1048635</vt:i4>
      </vt:variant>
      <vt:variant>
        <vt:i4>308</vt:i4>
      </vt:variant>
      <vt:variant>
        <vt:i4>0</vt:i4>
      </vt:variant>
      <vt:variant>
        <vt:i4>5</vt:i4>
      </vt:variant>
      <vt:variant>
        <vt:lpwstr/>
      </vt:variant>
      <vt:variant>
        <vt:lpwstr>_Toc129176426</vt:lpwstr>
      </vt:variant>
      <vt:variant>
        <vt:i4>1048635</vt:i4>
      </vt:variant>
      <vt:variant>
        <vt:i4>302</vt:i4>
      </vt:variant>
      <vt:variant>
        <vt:i4>0</vt:i4>
      </vt:variant>
      <vt:variant>
        <vt:i4>5</vt:i4>
      </vt:variant>
      <vt:variant>
        <vt:lpwstr/>
      </vt:variant>
      <vt:variant>
        <vt:lpwstr>_Toc129176425</vt:lpwstr>
      </vt:variant>
      <vt:variant>
        <vt:i4>1048635</vt:i4>
      </vt:variant>
      <vt:variant>
        <vt:i4>296</vt:i4>
      </vt:variant>
      <vt:variant>
        <vt:i4>0</vt:i4>
      </vt:variant>
      <vt:variant>
        <vt:i4>5</vt:i4>
      </vt:variant>
      <vt:variant>
        <vt:lpwstr/>
      </vt:variant>
      <vt:variant>
        <vt:lpwstr>_Toc129176424</vt:lpwstr>
      </vt:variant>
      <vt:variant>
        <vt:i4>1048635</vt:i4>
      </vt:variant>
      <vt:variant>
        <vt:i4>290</vt:i4>
      </vt:variant>
      <vt:variant>
        <vt:i4>0</vt:i4>
      </vt:variant>
      <vt:variant>
        <vt:i4>5</vt:i4>
      </vt:variant>
      <vt:variant>
        <vt:lpwstr/>
      </vt:variant>
      <vt:variant>
        <vt:lpwstr>_Toc129176423</vt:lpwstr>
      </vt:variant>
      <vt:variant>
        <vt:i4>1048635</vt:i4>
      </vt:variant>
      <vt:variant>
        <vt:i4>284</vt:i4>
      </vt:variant>
      <vt:variant>
        <vt:i4>0</vt:i4>
      </vt:variant>
      <vt:variant>
        <vt:i4>5</vt:i4>
      </vt:variant>
      <vt:variant>
        <vt:lpwstr/>
      </vt:variant>
      <vt:variant>
        <vt:lpwstr>_Toc129176422</vt:lpwstr>
      </vt:variant>
      <vt:variant>
        <vt:i4>1048635</vt:i4>
      </vt:variant>
      <vt:variant>
        <vt:i4>278</vt:i4>
      </vt:variant>
      <vt:variant>
        <vt:i4>0</vt:i4>
      </vt:variant>
      <vt:variant>
        <vt:i4>5</vt:i4>
      </vt:variant>
      <vt:variant>
        <vt:lpwstr/>
      </vt:variant>
      <vt:variant>
        <vt:lpwstr>_Toc129176421</vt:lpwstr>
      </vt:variant>
      <vt:variant>
        <vt:i4>1048635</vt:i4>
      </vt:variant>
      <vt:variant>
        <vt:i4>272</vt:i4>
      </vt:variant>
      <vt:variant>
        <vt:i4>0</vt:i4>
      </vt:variant>
      <vt:variant>
        <vt:i4>5</vt:i4>
      </vt:variant>
      <vt:variant>
        <vt:lpwstr/>
      </vt:variant>
      <vt:variant>
        <vt:lpwstr>_Toc129176420</vt:lpwstr>
      </vt:variant>
      <vt:variant>
        <vt:i4>1245243</vt:i4>
      </vt:variant>
      <vt:variant>
        <vt:i4>266</vt:i4>
      </vt:variant>
      <vt:variant>
        <vt:i4>0</vt:i4>
      </vt:variant>
      <vt:variant>
        <vt:i4>5</vt:i4>
      </vt:variant>
      <vt:variant>
        <vt:lpwstr/>
      </vt:variant>
      <vt:variant>
        <vt:lpwstr>_Toc129176419</vt:lpwstr>
      </vt:variant>
      <vt:variant>
        <vt:i4>1245243</vt:i4>
      </vt:variant>
      <vt:variant>
        <vt:i4>260</vt:i4>
      </vt:variant>
      <vt:variant>
        <vt:i4>0</vt:i4>
      </vt:variant>
      <vt:variant>
        <vt:i4>5</vt:i4>
      </vt:variant>
      <vt:variant>
        <vt:lpwstr/>
      </vt:variant>
      <vt:variant>
        <vt:lpwstr>_Toc129176418</vt:lpwstr>
      </vt:variant>
      <vt:variant>
        <vt:i4>1245243</vt:i4>
      </vt:variant>
      <vt:variant>
        <vt:i4>254</vt:i4>
      </vt:variant>
      <vt:variant>
        <vt:i4>0</vt:i4>
      </vt:variant>
      <vt:variant>
        <vt:i4>5</vt:i4>
      </vt:variant>
      <vt:variant>
        <vt:lpwstr/>
      </vt:variant>
      <vt:variant>
        <vt:lpwstr>_Toc129176417</vt:lpwstr>
      </vt:variant>
      <vt:variant>
        <vt:i4>1245243</vt:i4>
      </vt:variant>
      <vt:variant>
        <vt:i4>248</vt:i4>
      </vt:variant>
      <vt:variant>
        <vt:i4>0</vt:i4>
      </vt:variant>
      <vt:variant>
        <vt:i4>5</vt:i4>
      </vt:variant>
      <vt:variant>
        <vt:lpwstr/>
      </vt:variant>
      <vt:variant>
        <vt:lpwstr>_Toc129176416</vt:lpwstr>
      </vt:variant>
      <vt:variant>
        <vt:i4>1245243</vt:i4>
      </vt:variant>
      <vt:variant>
        <vt:i4>242</vt:i4>
      </vt:variant>
      <vt:variant>
        <vt:i4>0</vt:i4>
      </vt:variant>
      <vt:variant>
        <vt:i4>5</vt:i4>
      </vt:variant>
      <vt:variant>
        <vt:lpwstr/>
      </vt:variant>
      <vt:variant>
        <vt:lpwstr>_Toc129176415</vt:lpwstr>
      </vt:variant>
      <vt:variant>
        <vt:i4>1245243</vt:i4>
      </vt:variant>
      <vt:variant>
        <vt:i4>236</vt:i4>
      </vt:variant>
      <vt:variant>
        <vt:i4>0</vt:i4>
      </vt:variant>
      <vt:variant>
        <vt:i4>5</vt:i4>
      </vt:variant>
      <vt:variant>
        <vt:lpwstr/>
      </vt:variant>
      <vt:variant>
        <vt:lpwstr>_Toc129176414</vt:lpwstr>
      </vt:variant>
      <vt:variant>
        <vt:i4>1245243</vt:i4>
      </vt:variant>
      <vt:variant>
        <vt:i4>230</vt:i4>
      </vt:variant>
      <vt:variant>
        <vt:i4>0</vt:i4>
      </vt:variant>
      <vt:variant>
        <vt:i4>5</vt:i4>
      </vt:variant>
      <vt:variant>
        <vt:lpwstr/>
      </vt:variant>
      <vt:variant>
        <vt:lpwstr>_Toc129176413</vt:lpwstr>
      </vt:variant>
      <vt:variant>
        <vt:i4>1245243</vt:i4>
      </vt:variant>
      <vt:variant>
        <vt:i4>224</vt:i4>
      </vt:variant>
      <vt:variant>
        <vt:i4>0</vt:i4>
      </vt:variant>
      <vt:variant>
        <vt:i4>5</vt:i4>
      </vt:variant>
      <vt:variant>
        <vt:lpwstr/>
      </vt:variant>
      <vt:variant>
        <vt:lpwstr>_Toc129176412</vt:lpwstr>
      </vt:variant>
      <vt:variant>
        <vt:i4>1245243</vt:i4>
      </vt:variant>
      <vt:variant>
        <vt:i4>218</vt:i4>
      </vt:variant>
      <vt:variant>
        <vt:i4>0</vt:i4>
      </vt:variant>
      <vt:variant>
        <vt:i4>5</vt:i4>
      </vt:variant>
      <vt:variant>
        <vt:lpwstr/>
      </vt:variant>
      <vt:variant>
        <vt:lpwstr>_Toc129176411</vt:lpwstr>
      </vt:variant>
      <vt:variant>
        <vt:i4>1245243</vt:i4>
      </vt:variant>
      <vt:variant>
        <vt:i4>212</vt:i4>
      </vt:variant>
      <vt:variant>
        <vt:i4>0</vt:i4>
      </vt:variant>
      <vt:variant>
        <vt:i4>5</vt:i4>
      </vt:variant>
      <vt:variant>
        <vt:lpwstr/>
      </vt:variant>
      <vt:variant>
        <vt:lpwstr>_Toc129176410</vt:lpwstr>
      </vt:variant>
      <vt:variant>
        <vt:i4>1179707</vt:i4>
      </vt:variant>
      <vt:variant>
        <vt:i4>206</vt:i4>
      </vt:variant>
      <vt:variant>
        <vt:i4>0</vt:i4>
      </vt:variant>
      <vt:variant>
        <vt:i4>5</vt:i4>
      </vt:variant>
      <vt:variant>
        <vt:lpwstr/>
      </vt:variant>
      <vt:variant>
        <vt:lpwstr>_Toc129176409</vt:lpwstr>
      </vt:variant>
      <vt:variant>
        <vt:i4>1179707</vt:i4>
      </vt:variant>
      <vt:variant>
        <vt:i4>200</vt:i4>
      </vt:variant>
      <vt:variant>
        <vt:i4>0</vt:i4>
      </vt:variant>
      <vt:variant>
        <vt:i4>5</vt:i4>
      </vt:variant>
      <vt:variant>
        <vt:lpwstr/>
      </vt:variant>
      <vt:variant>
        <vt:lpwstr>_Toc129176408</vt:lpwstr>
      </vt:variant>
      <vt:variant>
        <vt:i4>1179707</vt:i4>
      </vt:variant>
      <vt:variant>
        <vt:i4>194</vt:i4>
      </vt:variant>
      <vt:variant>
        <vt:i4>0</vt:i4>
      </vt:variant>
      <vt:variant>
        <vt:i4>5</vt:i4>
      </vt:variant>
      <vt:variant>
        <vt:lpwstr/>
      </vt:variant>
      <vt:variant>
        <vt:lpwstr>_Toc129176407</vt:lpwstr>
      </vt:variant>
      <vt:variant>
        <vt:i4>1179707</vt:i4>
      </vt:variant>
      <vt:variant>
        <vt:i4>188</vt:i4>
      </vt:variant>
      <vt:variant>
        <vt:i4>0</vt:i4>
      </vt:variant>
      <vt:variant>
        <vt:i4>5</vt:i4>
      </vt:variant>
      <vt:variant>
        <vt:lpwstr/>
      </vt:variant>
      <vt:variant>
        <vt:lpwstr>_Toc129176406</vt:lpwstr>
      </vt:variant>
      <vt:variant>
        <vt:i4>1179707</vt:i4>
      </vt:variant>
      <vt:variant>
        <vt:i4>182</vt:i4>
      </vt:variant>
      <vt:variant>
        <vt:i4>0</vt:i4>
      </vt:variant>
      <vt:variant>
        <vt:i4>5</vt:i4>
      </vt:variant>
      <vt:variant>
        <vt:lpwstr/>
      </vt:variant>
      <vt:variant>
        <vt:lpwstr>_Toc129176405</vt:lpwstr>
      </vt:variant>
      <vt:variant>
        <vt:i4>1179707</vt:i4>
      </vt:variant>
      <vt:variant>
        <vt:i4>176</vt:i4>
      </vt:variant>
      <vt:variant>
        <vt:i4>0</vt:i4>
      </vt:variant>
      <vt:variant>
        <vt:i4>5</vt:i4>
      </vt:variant>
      <vt:variant>
        <vt:lpwstr/>
      </vt:variant>
      <vt:variant>
        <vt:lpwstr>_Toc129176404</vt:lpwstr>
      </vt:variant>
      <vt:variant>
        <vt:i4>1179707</vt:i4>
      </vt:variant>
      <vt:variant>
        <vt:i4>170</vt:i4>
      </vt:variant>
      <vt:variant>
        <vt:i4>0</vt:i4>
      </vt:variant>
      <vt:variant>
        <vt:i4>5</vt:i4>
      </vt:variant>
      <vt:variant>
        <vt:lpwstr/>
      </vt:variant>
      <vt:variant>
        <vt:lpwstr>_Toc129176403</vt:lpwstr>
      </vt:variant>
      <vt:variant>
        <vt:i4>1179707</vt:i4>
      </vt:variant>
      <vt:variant>
        <vt:i4>164</vt:i4>
      </vt:variant>
      <vt:variant>
        <vt:i4>0</vt:i4>
      </vt:variant>
      <vt:variant>
        <vt:i4>5</vt:i4>
      </vt:variant>
      <vt:variant>
        <vt:lpwstr/>
      </vt:variant>
      <vt:variant>
        <vt:lpwstr>_Toc129176402</vt:lpwstr>
      </vt:variant>
      <vt:variant>
        <vt:i4>1179707</vt:i4>
      </vt:variant>
      <vt:variant>
        <vt:i4>158</vt:i4>
      </vt:variant>
      <vt:variant>
        <vt:i4>0</vt:i4>
      </vt:variant>
      <vt:variant>
        <vt:i4>5</vt:i4>
      </vt:variant>
      <vt:variant>
        <vt:lpwstr/>
      </vt:variant>
      <vt:variant>
        <vt:lpwstr>_Toc129176401</vt:lpwstr>
      </vt:variant>
      <vt:variant>
        <vt:i4>1179707</vt:i4>
      </vt:variant>
      <vt:variant>
        <vt:i4>152</vt:i4>
      </vt:variant>
      <vt:variant>
        <vt:i4>0</vt:i4>
      </vt:variant>
      <vt:variant>
        <vt:i4>5</vt:i4>
      </vt:variant>
      <vt:variant>
        <vt:lpwstr/>
      </vt:variant>
      <vt:variant>
        <vt:lpwstr>_Toc129176400</vt:lpwstr>
      </vt:variant>
      <vt:variant>
        <vt:i4>1769532</vt:i4>
      </vt:variant>
      <vt:variant>
        <vt:i4>146</vt:i4>
      </vt:variant>
      <vt:variant>
        <vt:i4>0</vt:i4>
      </vt:variant>
      <vt:variant>
        <vt:i4>5</vt:i4>
      </vt:variant>
      <vt:variant>
        <vt:lpwstr/>
      </vt:variant>
      <vt:variant>
        <vt:lpwstr>_Toc129176399</vt:lpwstr>
      </vt:variant>
      <vt:variant>
        <vt:i4>1769532</vt:i4>
      </vt:variant>
      <vt:variant>
        <vt:i4>140</vt:i4>
      </vt:variant>
      <vt:variant>
        <vt:i4>0</vt:i4>
      </vt:variant>
      <vt:variant>
        <vt:i4>5</vt:i4>
      </vt:variant>
      <vt:variant>
        <vt:lpwstr/>
      </vt:variant>
      <vt:variant>
        <vt:lpwstr>_Toc129176398</vt:lpwstr>
      </vt:variant>
      <vt:variant>
        <vt:i4>1769532</vt:i4>
      </vt:variant>
      <vt:variant>
        <vt:i4>134</vt:i4>
      </vt:variant>
      <vt:variant>
        <vt:i4>0</vt:i4>
      </vt:variant>
      <vt:variant>
        <vt:i4>5</vt:i4>
      </vt:variant>
      <vt:variant>
        <vt:lpwstr/>
      </vt:variant>
      <vt:variant>
        <vt:lpwstr>_Toc129176397</vt:lpwstr>
      </vt:variant>
      <vt:variant>
        <vt:i4>1769532</vt:i4>
      </vt:variant>
      <vt:variant>
        <vt:i4>128</vt:i4>
      </vt:variant>
      <vt:variant>
        <vt:i4>0</vt:i4>
      </vt:variant>
      <vt:variant>
        <vt:i4>5</vt:i4>
      </vt:variant>
      <vt:variant>
        <vt:lpwstr/>
      </vt:variant>
      <vt:variant>
        <vt:lpwstr>_Toc129176396</vt:lpwstr>
      </vt:variant>
      <vt:variant>
        <vt:i4>1769532</vt:i4>
      </vt:variant>
      <vt:variant>
        <vt:i4>122</vt:i4>
      </vt:variant>
      <vt:variant>
        <vt:i4>0</vt:i4>
      </vt:variant>
      <vt:variant>
        <vt:i4>5</vt:i4>
      </vt:variant>
      <vt:variant>
        <vt:lpwstr/>
      </vt:variant>
      <vt:variant>
        <vt:lpwstr>_Toc129176395</vt:lpwstr>
      </vt:variant>
      <vt:variant>
        <vt:i4>1769532</vt:i4>
      </vt:variant>
      <vt:variant>
        <vt:i4>116</vt:i4>
      </vt:variant>
      <vt:variant>
        <vt:i4>0</vt:i4>
      </vt:variant>
      <vt:variant>
        <vt:i4>5</vt:i4>
      </vt:variant>
      <vt:variant>
        <vt:lpwstr/>
      </vt:variant>
      <vt:variant>
        <vt:lpwstr>_Toc129176394</vt:lpwstr>
      </vt:variant>
      <vt:variant>
        <vt:i4>1769532</vt:i4>
      </vt:variant>
      <vt:variant>
        <vt:i4>110</vt:i4>
      </vt:variant>
      <vt:variant>
        <vt:i4>0</vt:i4>
      </vt:variant>
      <vt:variant>
        <vt:i4>5</vt:i4>
      </vt:variant>
      <vt:variant>
        <vt:lpwstr/>
      </vt:variant>
      <vt:variant>
        <vt:lpwstr>_Toc129176393</vt:lpwstr>
      </vt:variant>
      <vt:variant>
        <vt:i4>1769532</vt:i4>
      </vt:variant>
      <vt:variant>
        <vt:i4>104</vt:i4>
      </vt:variant>
      <vt:variant>
        <vt:i4>0</vt:i4>
      </vt:variant>
      <vt:variant>
        <vt:i4>5</vt:i4>
      </vt:variant>
      <vt:variant>
        <vt:lpwstr/>
      </vt:variant>
      <vt:variant>
        <vt:lpwstr>_Toc129176392</vt:lpwstr>
      </vt:variant>
      <vt:variant>
        <vt:i4>1769532</vt:i4>
      </vt:variant>
      <vt:variant>
        <vt:i4>98</vt:i4>
      </vt:variant>
      <vt:variant>
        <vt:i4>0</vt:i4>
      </vt:variant>
      <vt:variant>
        <vt:i4>5</vt:i4>
      </vt:variant>
      <vt:variant>
        <vt:lpwstr/>
      </vt:variant>
      <vt:variant>
        <vt:lpwstr>_Toc129176391</vt:lpwstr>
      </vt:variant>
      <vt:variant>
        <vt:i4>1769532</vt:i4>
      </vt:variant>
      <vt:variant>
        <vt:i4>92</vt:i4>
      </vt:variant>
      <vt:variant>
        <vt:i4>0</vt:i4>
      </vt:variant>
      <vt:variant>
        <vt:i4>5</vt:i4>
      </vt:variant>
      <vt:variant>
        <vt:lpwstr/>
      </vt:variant>
      <vt:variant>
        <vt:lpwstr>_Toc129176390</vt:lpwstr>
      </vt:variant>
      <vt:variant>
        <vt:i4>1703996</vt:i4>
      </vt:variant>
      <vt:variant>
        <vt:i4>86</vt:i4>
      </vt:variant>
      <vt:variant>
        <vt:i4>0</vt:i4>
      </vt:variant>
      <vt:variant>
        <vt:i4>5</vt:i4>
      </vt:variant>
      <vt:variant>
        <vt:lpwstr/>
      </vt:variant>
      <vt:variant>
        <vt:lpwstr>_Toc129176389</vt:lpwstr>
      </vt:variant>
      <vt:variant>
        <vt:i4>1703996</vt:i4>
      </vt:variant>
      <vt:variant>
        <vt:i4>80</vt:i4>
      </vt:variant>
      <vt:variant>
        <vt:i4>0</vt:i4>
      </vt:variant>
      <vt:variant>
        <vt:i4>5</vt:i4>
      </vt:variant>
      <vt:variant>
        <vt:lpwstr/>
      </vt:variant>
      <vt:variant>
        <vt:lpwstr>_Toc129176388</vt:lpwstr>
      </vt:variant>
      <vt:variant>
        <vt:i4>1703996</vt:i4>
      </vt:variant>
      <vt:variant>
        <vt:i4>74</vt:i4>
      </vt:variant>
      <vt:variant>
        <vt:i4>0</vt:i4>
      </vt:variant>
      <vt:variant>
        <vt:i4>5</vt:i4>
      </vt:variant>
      <vt:variant>
        <vt:lpwstr/>
      </vt:variant>
      <vt:variant>
        <vt:lpwstr>_Toc129176387</vt:lpwstr>
      </vt:variant>
      <vt:variant>
        <vt:i4>1703996</vt:i4>
      </vt:variant>
      <vt:variant>
        <vt:i4>68</vt:i4>
      </vt:variant>
      <vt:variant>
        <vt:i4>0</vt:i4>
      </vt:variant>
      <vt:variant>
        <vt:i4>5</vt:i4>
      </vt:variant>
      <vt:variant>
        <vt:lpwstr/>
      </vt:variant>
      <vt:variant>
        <vt:lpwstr>_Toc129176386</vt:lpwstr>
      </vt:variant>
      <vt:variant>
        <vt:i4>1703996</vt:i4>
      </vt:variant>
      <vt:variant>
        <vt:i4>62</vt:i4>
      </vt:variant>
      <vt:variant>
        <vt:i4>0</vt:i4>
      </vt:variant>
      <vt:variant>
        <vt:i4>5</vt:i4>
      </vt:variant>
      <vt:variant>
        <vt:lpwstr/>
      </vt:variant>
      <vt:variant>
        <vt:lpwstr>_Toc129176385</vt:lpwstr>
      </vt:variant>
      <vt:variant>
        <vt:i4>1703996</vt:i4>
      </vt:variant>
      <vt:variant>
        <vt:i4>56</vt:i4>
      </vt:variant>
      <vt:variant>
        <vt:i4>0</vt:i4>
      </vt:variant>
      <vt:variant>
        <vt:i4>5</vt:i4>
      </vt:variant>
      <vt:variant>
        <vt:lpwstr/>
      </vt:variant>
      <vt:variant>
        <vt:lpwstr>_Toc129176384</vt:lpwstr>
      </vt:variant>
      <vt:variant>
        <vt:i4>1703996</vt:i4>
      </vt:variant>
      <vt:variant>
        <vt:i4>50</vt:i4>
      </vt:variant>
      <vt:variant>
        <vt:i4>0</vt:i4>
      </vt:variant>
      <vt:variant>
        <vt:i4>5</vt:i4>
      </vt:variant>
      <vt:variant>
        <vt:lpwstr/>
      </vt:variant>
      <vt:variant>
        <vt:lpwstr>_Toc129176383</vt:lpwstr>
      </vt:variant>
      <vt:variant>
        <vt:i4>1703996</vt:i4>
      </vt:variant>
      <vt:variant>
        <vt:i4>44</vt:i4>
      </vt:variant>
      <vt:variant>
        <vt:i4>0</vt:i4>
      </vt:variant>
      <vt:variant>
        <vt:i4>5</vt:i4>
      </vt:variant>
      <vt:variant>
        <vt:lpwstr/>
      </vt:variant>
      <vt:variant>
        <vt:lpwstr>_Toc129176382</vt:lpwstr>
      </vt:variant>
      <vt:variant>
        <vt:i4>1703996</vt:i4>
      </vt:variant>
      <vt:variant>
        <vt:i4>38</vt:i4>
      </vt:variant>
      <vt:variant>
        <vt:i4>0</vt:i4>
      </vt:variant>
      <vt:variant>
        <vt:i4>5</vt:i4>
      </vt:variant>
      <vt:variant>
        <vt:lpwstr/>
      </vt:variant>
      <vt:variant>
        <vt:lpwstr>_Toc129176381</vt:lpwstr>
      </vt:variant>
      <vt:variant>
        <vt:i4>1703996</vt:i4>
      </vt:variant>
      <vt:variant>
        <vt:i4>32</vt:i4>
      </vt:variant>
      <vt:variant>
        <vt:i4>0</vt:i4>
      </vt:variant>
      <vt:variant>
        <vt:i4>5</vt:i4>
      </vt:variant>
      <vt:variant>
        <vt:lpwstr/>
      </vt:variant>
      <vt:variant>
        <vt:lpwstr>_Toc129176380</vt:lpwstr>
      </vt:variant>
      <vt:variant>
        <vt:i4>1376316</vt:i4>
      </vt:variant>
      <vt:variant>
        <vt:i4>26</vt:i4>
      </vt:variant>
      <vt:variant>
        <vt:i4>0</vt:i4>
      </vt:variant>
      <vt:variant>
        <vt:i4>5</vt:i4>
      </vt:variant>
      <vt:variant>
        <vt:lpwstr/>
      </vt:variant>
      <vt:variant>
        <vt:lpwstr>_Toc129176379</vt:lpwstr>
      </vt:variant>
      <vt:variant>
        <vt:i4>1376316</vt:i4>
      </vt:variant>
      <vt:variant>
        <vt:i4>20</vt:i4>
      </vt:variant>
      <vt:variant>
        <vt:i4>0</vt:i4>
      </vt:variant>
      <vt:variant>
        <vt:i4>5</vt:i4>
      </vt:variant>
      <vt:variant>
        <vt:lpwstr/>
      </vt:variant>
      <vt:variant>
        <vt:lpwstr>_Toc129176378</vt:lpwstr>
      </vt:variant>
      <vt:variant>
        <vt:i4>1376316</vt:i4>
      </vt:variant>
      <vt:variant>
        <vt:i4>14</vt:i4>
      </vt:variant>
      <vt:variant>
        <vt:i4>0</vt:i4>
      </vt:variant>
      <vt:variant>
        <vt:i4>5</vt:i4>
      </vt:variant>
      <vt:variant>
        <vt:lpwstr/>
      </vt:variant>
      <vt:variant>
        <vt:lpwstr>_Toc129176377</vt:lpwstr>
      </vt:variant>
      <vt:variant>
        <vt:i4>1376316</vt:i4>
      </vt:variant>
      <vt:variant>
        <vt:i4>8</vt:i4>
      </vt:variant>
      <vt:variant>
        <vt:i4>0</vt:i4>
      </vt:variant>
      <vt:variant>
        <vt:i4>5</vt:i4>
      </vt:variant>
      <vt:variant>
        <vt:lpwstr/>
      </vt:variant>
      <vt:variant>
        <vt:lpwstr>_Toc129176376</vt:lpwstr>
      </vt:variant>
      <vt:variant>
        <vt:i4>1376316</vt:i4>
      </vt:variant>
      <vt:variant>
        <vt:i4>2</vt:i4>
      </vt:variant>
      <vt:variant>
        <vt:i4>0</vt:i4>
      </vt:variant>
      <vt:variant>
        <vt:i4>5</vt:i4>
      </vt:variant>
      <vt:variant>
        <vt:lpwstr/>
      </vt:variant>
      <vt:variant>
        <vt:lpwstr>_Toc129176375</vt:lpwstr>
      </vt:variant>
      <vt:variant>
        <vt:i4>3473423</vt:i4>
      </vt:variant>
      <vt:variant>
        <vt:i4>9</vt:i4>
      </vt:variant>
      <vt:variant>
        <vt:i4>0</vt:i4>
      </vt:variant>
      <vt:variant>
        <vt:i4>5</vt:i4>
      </vt:variant>
      <vt:variant>
        <vt:lpwstr>mailto:Raluca.BARZU@ec.europa.eu</vt:lpwstr>
      </vt:variant>
      <vt:variant>
        <vt:lpwstr/>
      </vt:variant>
      <vt:variant>
        <vt:i4>3473423</vt:i4>
      </vt:variant>
      <vt:variant>
        <vt:i4>6</vt:i4>
      </vt:variant>
      <vt:variant>
        <vt:i4>0</vt:i4>
      </vt:variant>
      <vt:variant>
        <vt:i4>5</vt:i4>
      </vt:variant>
      <vt:variant>
        <vt:lpwstr>mailto:Raluca.BARZU@ec.europa.eu</vt:lpwstr>
      </vt:variant>
      <vt:variant>
        <vt:lpwstr/>
      </vt:variant>
      <vt:variant>
        <vt:i4>1441855</vt:i4>
      </vt:variant>
      <vt:variant>
        <vt:i4>3</vt:i4>
      </vt:variant>
      <vt:variant>
        <vt:i4>0</vt:i4>
      </vt:variant>
      <vt:variant>
        <vt:i4>5</vt:i4>
      </vt:variant>
      <vt:variant>
        <vt:lpwstr>mailto:Christophe.SAMRAY@ec.europa.eu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Hulda Hrafnkelsdóttir - RR</cp:lastModifiedBy>
  <cp:revision>3</cp:revision>
  <cp:lastPrinted>2023-08-25T21:55:00Z</cp:lastPrinted>
  <dcterms:created xsi:type="dcterms:W3CDTF">2024-09-10T11:09:00Z</dcterms:created>
  <dcterms:modified xsi:type="dcterms:W3CDTF">2024-09-10T11:14:00Z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y fmtid="{D5CDD505-2E9C-101B-9397-08002B2CF9AE}" pid="17" name="GrammarlyDocumentId">
    <vt:lpwstr>7a852cd31362780a067974c6c66c24c77f51f061a6f6ff53f854ad76ceb9c9cf</vt:lpwstr>
  </property>
</Properties>
</file>